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F4" w:rsidRDefault="001718AA">
      <w:pPr>
        <w:rPr>
          <w:b/>
        </w:rPr>
      </w:pPr>
      <w:r>
        <w:rPr>
          <w:b/>
        </w:rPr>
        <w:t>Annual Course Review template for Taught and On-line Distance Learning courses</w:t>
      </w:r>
    </w:p>
    <w:p w:rsidR="001718AA" w:rsidRDefault="001718AA">
      <w:pPr>
        <w:rPr>
          <w:b/>
        </w:rPr>
      </w:pPr>
    </w:p>
    <w:tbl>
      <w:tblPr>
        <w:tblStyle w:val="TableGrid"/>
        <w:tblW w:w="0" w:type="auto"/>
        <w:tblLook w:val="04A0" w:firstRow="1" w:lastRow="0" w:firstColumn="1" w:lastColumn="0" w:noHBand="0" w:noVBand="1"/>
      </w:tblPr>
      <w:tblGrid>
        <w:gridCol w:w="2972"/>
        <w:gridCol w:w="6044"/>
      </w:tblGrid>
      <w:tr w:rsidR="001718AA" w:rsidTr="001718AA">
        <w:tc>
          <w:tcPr>
            <w:tcW w:w="2972" w:type="dxa"/>
          </w:tcPr>
          <w:p w:rsidR="001718AA" w:rsidRDefault="001718AA">
            <w:pPr>
              <w:rPr>
                <w:b/>
              </w:rPr>
            </w:pPr>
            <w:r>
              <w:rPr>
                <w:b/>
              </w:rPr>
              <w:t>School:</w:t>
            </w:r>
          </w:p>
          <w:p w:rsidR="001718AA" w:rsidRDefault="001718AA">
            <w:pPr>
              <w:rPr>
                <w:b/>
              </w:rPr>
            </w:pPr>
          </w:p>
        </w:tc>
        <w:tc>
          <w:tcPr>
            <w:tcW w:w="6044" w:type="dxa"/>
          </w:tcPr>
          <w:p w:rsidR="001718AA" w:rsidRDefault="001718AA">
            <w:pPr>
              <w:rPr>
                <w:b/>
              </w:rPr>
            </w:pPr>
          </w:p>
        </w:tc>
      </w:tr>
      <w:tr w:rsidR="001718AA" w:rsidTr="001718AA">
        <w:tc>
          <w:tcPr>
            <w:tcW w:w="2972" w:type="dxa"/>
          </w:tcPr>
          <w:p w:rsidR="001718AA" w:rsidRDefault="001718AA">
            <w:pPr>
              <w:rPr>
                <w:b/>
              </w:rPr>
            </w:pPr>
            <w:r>
              <w:rPr>
                <w:b/>
              </w:rPr>
              <w:t>Department/subject area:</w:t>
            </w:r>
          </w:p>
          <w:p w:rsidR="001718AA" w:rsidRDefault="001718AA">
            <w:pPr>
              <w:rPr>
                <w:b/>
              </w:rPr>
            </w:pPr>
          </w:p>
        </w:tc>
        <w:tc>
          <w:tcPr>
            <w:tcW w:w="6044" w:type="dxa"/>
          </w:tcPr>
          <w:p w:rsidR="001718AA" w:rsidRDefault="001718AA">
            <w:pPr>
              <w:rPr>
                <w:b/>
              </w:rPr>
            </w:pPr>
          </w:p>
        </w:tc>
      </w:tr>
      <w:tr w:rsidR="001718AA" w:rsidTr="001718AA">
        <w:tc>
          <w:tcPr>
            <w:tcW w:w="2972" w:type="dxa"/>
          </w:tcPr>
          <w:p w:rsidR="001718AA" w:rsidRDefault="001718AA">
            <w:pPr>
              <w:rPr>
                <w:b/>
              </w:rPr>
            </w:pPr>
            <w:r>
              <w:rPr>
                <w:b/>
              </w:rPr>
              <w:t>Academic year under consideration:</w:t>
            </w:r>
          </w:p>
          <w:p w:rsidR="001718AA" w:rsidRDefault="001718AA">
            <w:pPr>
              <w:rPr>
                <w:b/>
              </w:rPr>
            </w:pPr>
          </w:p>
        </w:tc>
        <w:tc>
          <w:tcPr>
            <w:tcW w:w="6044" w:type="dxa"/>
          </w:tcPr>
          <w:p w:rsidR="001718AA" w:rsidRDefault="001718AA">
            <w:pPr>
              <w:rPr>
                <w:b/>
              </w:rPr>
            </w:pPr>
          </w:p>
        </w:tc>
      </w:tr>
      <w:tr w:rsidR="001718AA" w:rsidTr="001718AA">
        <w:tc>
          <w:tcPr>
            <w:tcW w:w="2972" w:type="dxa"/>
          </w:tcPr>
          <w:p w:rsidR="001718AA" w:rsidRDefault="00AB4B00">
            <w:pPr>
              <w:rPr>
                <w:b/>
              </w:rPr>
            </w:pPr>
            <w:r>
              <w:rPr>
                <w:b/>
              </w:rPr>
              <w:t>Courses included in this report:</w:t>
            </w:r>
          </w:p>
          <w:p w:rsidR="00AB4B00" w:rsidRDefault="00AB4B00">
            <w:pPr>
              <w:rPr>
                <w:b/>
              </w:rPr>
            </w:pPr>
          </w:p>
        </w:tc>
        <w:tc>
          <w:tcPr>
            <w:tcW w:w="6044" w:type="dxa"/>
          </w:tcPr>
          <w:p w:rsidR="001718AA" w:rsidRDefault="001718AA">
            <w:pPr>
              <w:rPr>
                <w:b/>
              </w:rPr>
            </w:pPr>
          </w:p>
        </w:tc>
      </w:tr>
      <w:tr w:rsidR="001718AA" w:rsidTr="001718AA">
        <w:tc>
          <w:tcPr>
            <w:tcW w:w="2972" w:type="dxa"/>
          </w:tcPr>
          <w:p w:rsidR="001718AA" w:rsidRDefault="00AB4B00">
            <w:pPr>
              <w:rPr>
                <w:b/>
              </w:rPr>
            </w:pPr>
            <w:r>
              <w:rPr>
                <w:b/>
              </w:rPr>
              <w:t>Author:</w:t>
            </w:r>
          </w:p>
        </w:tc>
        <w:tc>
          <w:tcPr>
            <w:tcW w:w="6044" w:type="dxa"/>
          </w:tcPr>
          <w:p w:rsidR="001718AA" w:rsidRDefault="001718AA">
            <w:pPr>
              <w:rPr>
                <w:b/>
              </w:rPr>
            </w:pPr>
          </w:p>
          <w:p w:rsidR="00AB4B00" w:rsidRDefault="00AB4B00">
            <w:pPr>
              <w:rPr>
                <w:b/>
              </w:rPr>
            </w:pPr>
          </w:p>
        </w:tc>
      </w:tr>
      <w:tr w:rsidR="001718AA" w:rsidTr="001718AA">
        <w:tc>
          <w:tcPr>
            <w:tcW w:w="2972" w:type="dxa"/>
          </w:tcPr>
          <w:p w:rsidR="00AB4B00" w:rsidRDefault="00AB4B00">
            <w:pPr>
              <w:rPr>
                <w:b/>
              </w:rPr>
            </w:pPr>
            <w:r>
              <w:rPr>
                <w:b/>
              </w:rPr>
              <w:t>ACR approved by:</w:t>
            </w:r>
          </w:p>
          <w:p w:rsidR="00AB4B00" w:rsidRDefault="00AB4B00">
            <w:pPr>
              <w:rPr>
                <w:b/>
              </w:rPr>
            </w:pPr>
          </w:p>
        </w:tc>
        <w:tc>
          <w:tcPr>
            <w:tcW w:w="6044" w:type="dxa"/>
          </w:tcPr>
          <w:p w:rsidR="001718AA" w:rsidRDefault="001718AA">
            <w:pPr>
              <w:rPr>
                <w:b/>
              </w:rPr>
            </w:pPr>
          </w:p>
        </w:tc>
      </w:tr>
    </w:tbl>
    <w:p w:rsidR="001718AA" w:rsidRDefault="001718AA">
      <w:pPr>
        <w:rPr>
          <w:b/>
        </w:rPr>
      </w:pPr>
    </w:p>
    <w:tbl>
      <w:tblPr>
        <w:tblStyle w:val="TableGrid"/>
        <w:tblW w:w="0" w:type="auto"/>
        <w:tblLook w:val="04A0" w:firstRow="1" w:lastRow="0" w:firstColumn="1" w:lastColumn="0" w:noHBand="0" w:noVBand="1"/>
      </w:tblPr>
      <w:tblGrid>
        <w:gridCol w:w="562"/>
        <w:gridCol w:w="8454"/>
      </w:tblGrid>
      <w:tr w:rsidR="00AB4B00" w:rsidTr="00367C5D">
        <w:tc>
          <w:tcPr>
            <w:tcW w:w="562" w:type="dxa"/>
            <w:shd w:val="clear" w:color="auto" w:fill="D9D9D9" w:themeFill="background1" w:themeFillShade="D9"/>
          </w:tcPr>
          <w:p w:rsidR="00AB4B00" w:rsidRDefault="00AB4B00">
            <w:pPr>
              <w:rPr>
                <w:b/>
              </w:rPr>
            </w:pPr>
            <w:r>
              <w:rPr>
                <w:b/>
              </w:rPr>
              <w:t>1.</w:t>
            </w:r>
          </w:p>
        </w:tc>
        <w:tc>
          <w:tcPr>
            <w:tcW w:w="8454" w:type="dxa"/>
            <w:shd w:val="clear" w:color="auto" w:fill="D9D9D9" w:themeFill="background1" w:themeFillShade="D9"/>
          </w:tcPr>
          <w:p w:rsidR="00AB4B00" w:rsidRDefault="00AB4B00">
            <w:pPr>
              <w:rPr>
                <w:b/>
              </w:rPr>
            </w:pPr>
            <w:r>
              <w:rPr>
                <w:b/>
              </w:rPr>
              <w:t xml:space="preserve">How </w:t>
            </w:r>
            <w:proofErr w:type="gramStart"/>
            <w:r>
              <w:rPr>
                <w:b/>
              </w:rPr>
              <w:t>have the actions identified in last year’</w:t>
            </w:r>
            <w:r w:rsidR="008C5B62">
              <w:rPr>
                <w:b/>
              </w:rPr>
              <w:t>s Annual Course Review report been taken</w:t>
            </w:r>
            <w:proofErr w:type="gramEnd"/>
            <w:r w:rsidR="008C5B62">
              <w:rPr>
                <w:b/>
              </w:rPr>
              <w:t xml:space="preserve"> forward?</w:t>
            </w:r>
          </w:p>
          <w:p w:rsidR="00AB4B00" w:rsidRDefault="00AB4B00">
            <w:pPr>
              <w:rPr>
                <w:b/>
              </w:rPr>
            </w:pPr>
          </w:p>
        </w:tc>
      </w:tr>
      <w:tr w:rsidR="008C5B62" w:rsidTr="00522EF4">
        <w:tc>
          <w:tcPr>
            <w:tcW w:w="9016" w:type="dxa"/>
            <w:gridSpan w:val="2"/>
          </w:tcPr>
          <w:p w:rsidR="008C5B62" w:rsidRDefault="00522EF4">
            <w:pPr>
              <w:rPr>
                <w:i/>
              </w:rPr>
            </w:pPr>
            <w:r>
              <w:rPr>
                <w:i/>
              </w:rPr>
              <w:t>When responding to this question you are asked to consider each of the actions identified in last year’s report identifying for each:</w:t>
            </w:r>
          </w:p>
          <w:p w:rsidR="00522EF4" w:rsidRDefault="00522EF4" w:rsidP="00522EF4">
            <w:pPr>
              <w:pStyle w:val="ListParagraph"/>
              <w:numPr>
                <w:ilvl w:val="0"/>
                <w:numId w:val="1"/>
              </w:numPr>
              <w:rPr>
                <w:i/>
              </w:rPr>
            </w:pPr>
            <w:r w:rsidRPr="00522EF4">
              <w:rPr>
                <w:i/>
              </w:rPr>
              <w:t>Those actions that are complete – include a short description that reflects the relative progress or success of the action taken</w:t>
            </w:r>
          </w:p>
          <w:p w:rsidR="00522EF4" w:rsidRPr="00522EF4" w:rsidRDefault="00522EF4" w:rsidP="00522EF4">
            <w:pPr>
              <w:pStyle w:val="ListParagraph"/>
              <w:numPr>
                <w:ilvl w:val="0"/>
                <w:numId w:val="1"/>
              </w:numPr>
              <w:rPr>
                <w:i/>
              </w:rPr>
            </w:pPr>
            <w:r>
              <w:rPr>
                <w:i/>
              </w:rPr>
              <w:t xml:space="preserve">Those actions that are incomplete – please identify whether these continue to be ‘live’ actions – if so please ensure that they are included in the new action plan at section </w:t>
            </w:r>
            <w:r w:rsidR="00A53008">
              <w:rPr>
                <w:i/>
              </w:rPr>
              <w:t>5</w:t>
            </w:r>
            <w:r w:rsidR="00367C5D">
              <w:rPr>
                <w:i/>
              </w:rPr>
              <w:t>.</w:t>
            </w:r>
          </w:p>
          <w:p w:rsidR="008C5B62" w:rsidRPr="00522EF4" w:rsidRDefault="008C5B62">
            <w:pPr>
              <w:rPr>
                <w:i/>
              </w:rPr>
            </w:pPr>
          </w:p>
          <w:p w:rsidR="008C5B62" w:rsidRDefault="008C5B62">
            <w:pPr>
              <w:rPr>
                <w:b/>
              </w:rPr>
            </w:pPr>
          </w:p>
          <w:p w:rsidR="008C5B62" w:rsidRDefault="008C5B62">
            <w:pPr>
              <w:rPr>
                <w:b/>
              </w:rPr>
            </w:pPr>
          </w:p>
          <w:p w:rsidR="008C5B62" w:rsidRDefault="008C5B62">
            <w:pPr>
              <w:rPr>
                <w:b/>
              </w:rPr>
            </w:pPr>
          </w:p>
          <w:p w:rsidR="008C5B62" w:rsidRDefault="008C5B62">
            <w:pPr>
              <w:rPr>
                <w:b/>
              </w:rPr>
            </w:pPr>
          </w:p>
          <w:p w:rsidR="008C5B62" w:rsidRDefault="008C5B62">
            <w:pPr>
              <w:rPr>
                <w:b/>
              </w:rPr>
            </w:pPr>
          </w:p>
        </w:tc>
      </w:tr>
    </w:tbl>
    <w:p w:rsidR="008C5B62" w:rsidRDefault="008C5B62">
      <w:pPr>
        <w:rPr>
          <w:b/>
        </w:rPr>
      </w:pPr>
    </w:p>
    <w:tbl>
      <w:tblPr>
        <w:tblStyle w:val="TableGrid"/>
        <w:tblW w:w="0" w:type="auto"/>
        <w:tblLook w:val="04A0" w:firstRow="1" w:lastRow="0" w:firstColumn="1" w:lastColumn="0" w:noHBand="0" w:noVBand="1"/>
      </w:tblPr>
      <w:tblGrid>
        <w:gridCol w:w="562"/>
        <w:gridCol w:w="8454"/>
      </w:tblGrid>
      <w:tr w:rsidR="008C5B62" w:rsidTr="00367C5D">
        <w:tc>
          <w:tcPr>
            <w:tcW w:w="562" w:type="dxa"/>
            <w:shd w:val="clear" w:color="auto" w:fill="D9D9D9" w:themeFill="background1" w:themeFillShade="D9"/>
          </w:tcPr>
          <w:p w:rsidR="008C5B62" w:rsidRDefault="008C5B62" w:rsidP="00522EF4">
            <w:pPr>
              <w:rPr>
                <w:b/>
              </w:rPr>
            </w:pPr>
            <w:r>
              <w:rPr>
                <w:b/>
              </w:rPr>
              <w:t>2</w:t>
            </w:r>
            <w:r w:rsidR="009352F7">
              <w:rPr>
                <w:b/>
              </w:rPr>
              <w:t>.</w:t>
            </w:r>
          </w:p>
        </w:tc>
        <w:tc>
          <w:tcPr>
            <w:tcW w:w="8454" w:type="dxa"/>
            <w:shd w:val="clear" w:color="auto" w:fill="D9D9D9" w:themeFill="background1" w:themeFillShade="D9"/>
          </w:tcPr>
          <w:p w:rsidR="008C5B62" w:rsidRDefault="008C5B62" w:rsidP="008C5B62">
            <w:pPr>
              <w:rPr>
                <w:b/>
              </w:rPr>
            </w:pPr>
            <w:r>
              <w:rPr>
                <w:b/>
              </w:rPr>
              <w:t>Commentary on the performance of the provision during the last academic year</w:t>
            </w:r>
          </w:p>
          <w:p w:rsidR="008C5B62" w:rsidRDefault="008C5B62" w:rsidP="008C5B62">
            <w:pPr>
              <w:rPr>
                <w:b/>
              </w:rPr>
            </w:pPr>
          </w:p>
        </w:tc>
      </w:tr>
      <w:tr w:rsidR="008C5B62" w:rsidTr="00522EF4">
        <w:tc>
          <w:tcPr>
            <w:tcW w:w="9016" w:type="dxa"/>
            <w:gridSpan w:val="2"/>
          </w:tcPr>
          <w:p w:rsidR="008C5B62" w:rsidRDefault="005A153B" w:rsidP="00522EF4">
            <w:pPr>
              <w:rPr>
                <w:i/>
              </w:rPr>
            </w:pPr>
            <w:r>
              <w:rPr>
                <w:i/>
              </w:rPr>
              <w:t xml:space="preserve">This section provides an opportunity for critical reflection on the performance of the provision during the academic year that has just concluded.  </w:t>
            </w:r>
            <w:r w:rsidR="008C5B62" w:rsidRPr="00522EF4">
              <w:rPr>
                <w:i/>
              </w:rPr>
              <w:t>Drawing on the evidence base – both qualitative and quantitative – comment on the performance of the provision</w:t>
            </w:r>
            <w:r w:rsidR="00522EF4" w:rsidRPr="00522EF4">
              <w:rPr>
                <w:i/>
              </w:rPr>
              <w:t xml:space="preserve"> under review</w:t>
            </w:r>
            <w:r w:rsidR="008C5B62" w:rsidRPr="00522EF4">
              <w:rPr>
                <w:i/>
              </w:rPr>
              <w:t xml:space="preserve">.  </w:t>
            </w:r>
            <w:r>
              <w:rPr>
                <w:i/>
              </w:rPr>
              <w:t>You may wish to think about:</w:t>
            </w:r>
          </w:p>
          <w:p w:rsidR="005A153B" w:rsidRDefault="005A153B" w:rsidP="00522EF4">
            <w:pPr>
              <w:rPr>
                <w:i/>
              </w:rPr>
            </w:pPr>
          </w:p>
          <w:p w:rsidR="005A153B" w:rsidRDefault="005A153B" w:rsidP="005A153B">
            <w:pPr>
              <w:pStyle w:val="ListParagraph"/>
              <w:numPr>
                <w:ilvl w:val="0"/>
                <w:numId w:val="2"/>
              </w:numPr>
              <w:rPr>
                <w:i/>
              </w:rPr>
            </w:pPr>
            <w:r>
              <w:rPr>
                <w:i/>
              </w:rPr>
              <w:t>What has gone well, and why</w:t>
            </w:r>
          </w:p>
          <w:p w:rsidR="005A153B" w:rsidRDefault="005A153B" w:rsidP="005A153B">
            <w:pPr>
              <w:pStyle w:val="ListParagraph"/>
              <w:numPr>
                <w:ilvl w:val="0"/>
                <w:numId w:val="2"/>
              </w:numPr>
              <w:rPr>
                <w:i/>
              </w:rPr>
            </w:pPr>
            <w:r>
              <w:rPr>
                <w:i/>
              </w:rPr>
              <w:t>What has gone less well, and why</w:t>
            </w:r>
          </w:p>
          <w:p w:rsidR="005A153B" w:rsidRPr="005A153B" w:rsidRDefault="005A153B" w:rsidP="005A153B">
            <w:pPr>
              <w:pStyle w:val="ListParagraph"/>
              <w:numPr>
                <w:ilvl w:val="0"/>
                <w:numId w:val="2"/>
              </w:numPr>
              <w:rPr>
                <w:i/>
              </w:rPr>
            </w:pPr>
            <w:r>
              <w:rPr>
                <w:i/>
              </w:rPr>
              <w:t xml:space="preserve">Are there particular factors that have </w:t>
            </w:r>
            <w:proofErr w:type="gramStart"/>
            <w:r>
              <w:rPr>
                <w:i/>
              </w:rPr>
              <w:t>impacted on</w:t>
            </w:r>
            <w:proofErr w:type="gramEnd"/>
            <w:r>
              <w:rPr>
                <w:i/>
              </w:rPr>
              <w:t xml:space="preserve"> the provision, student performance or the student learning experience.</w:t>
            </w:r>
          </w:p>
          <w:p w:rsidR="008C5B62" w:rsidRDefault="008C5B62" w:rsidP="00522EF4">
            <w:pPr>
              <w:rPr>
                <w:i/>
              </w:rPr>
            </w:pPr>
          </w:p>
          <w:p w:rsidR="005A153B" w:rsidRPr="00522EF4" w:rsidRDefault="00367C5D" w:rsidP="00522EF4">
            <w:pPr>
              <w:rPr>
                <w:i/>
              </w:rPr>
            </w:pPr>
            <w:r>
              <w:rPr>
                <w:i/>
              </w:rPr>
              <w:t>See accompanying guidance on issues to consider.</w:t>
            </w:r>
          </w:p>
          <w:p w:rsidR="008C5B62" w:rsidRDefault="008C5B62" w:rsidP="00522EF4">
            <w:pPr>
              <w:rPr>
                <w:b/>
              </w:rPr>
            </w:pPr>
          </w:p>
          <w:p w:rsidR="008C5B62" w:rsidRPr="00367C5D" w:rsidRDefault="005A153B" w:rsidP="00522EF4">
            <w:pPr>
              <w:rPr>
                <w:i/>
              </w:rPr>
            </w:pPr>
            <w:r w:rsidRPr="00367C5D">
              <w:rPr>
                <w:i/>
              </w:rPr>
              <w:t>Identify any issues or risks that will be addressed in the action plan</w:t>
            </w:r>
            <w:r w:rsidR="00367C5D">
              <w:rPr>
                <w:i/>
              </w:rPr>
              <w:t xml:space="preserve"> (see section </w:t>
            </w:r>
            <w:r w:rsidR="00A53008">
              <w:rPr>
                <w:i/>
              </w:rPr>
              <w:t>5</w:t>
            </w:r>
            <w:r w:rsidR="00367C5D">
              <w:rPr>
                <w:i/>
              </w:rPr>
              <w:t>)</w:t>
            </w:r>
          </w:p>
          <w:p w:rsidR="008C5B62" w:rsidRDefault="008C5B62" w:rsidP="00522EF4">
            <w:pPr>
              <w:rPr>
                <w:b/>
              </w:rPr>
            </w:pPr>
          </w:p>
          <w:p w:rsidR="008C5B62" w:rsidRDefault="008C5B62" w:rsidP="00522EF4">
            <w:pPr>
              <w:rPr>
                <w:b/>
              </w:rPr>
            </w:pPr>
          </w:p>
          <w:p w:rsidR="00367C5D" w:rsidRDefault="00367C5D" w:rsidP="00522EF4">
            <w:pPr>
              <w:rPr>
                <w:b/>
              </w:rPr>
            </w:pPr>
          </w:p>
          <w:p w:rsidR="00367C5D" w:rsidRDefault="00367C5D" w:rsidP="00522EF4">
            <w:pPr>
              <w:rPr>
                <w:b/>
              </w:rPr>
            </w:pPr>
          </w:p>
        </w:tc>
      </w:tr>
      <w:tr w:rsidR="008C5B62" w:rsidTr="00367C5D">
        <w:tc>
          <w:tcPr>
            <w:tcW w:w="562" w:type="dxa"/>
            <w:shd w:val="clear" w:color="auto" w:fill="D9D9D9" w:themeFill="background1" w:themeFillShade="D9"/>
          </w:tcPr>
          <w:p w:rsidR="008C5B62" w:rsidRDefault="008C5B62" w:rsidP="00522EF4">
            <w:pPr>
              <w:rPr>
                <w:b/>
              </w:rPr>
            </w:pPr>
            <w:r>
              <w:rPr>
                <w:b/>
              </w:rPr>
              <w:lastRenderedPageBreak/>
              <w:t>3.</w:t>
            </w:r>
          </w:p>
        </w:tc>
        <w:tc>
          <w:tcPr>
            <w:tcW w:w="8454" w:type="dxa"/>
            <w:shd w:val="clear" w:color="auto" w:fill="D9D9D9" w:themeFill="background1" w:themeFillShade="D9"/>
          </w:tcPr>
          <w:p w:rsidR="008C5B62" w:rsidRDefault="008C5B62" w:rsidP="008C5B62">
            <w:pPr>
              <w:rPr>
                <w:b/>
              </w:rPr>
            </w:pPr>
            <w:r>
              <w:rPr>
                <w:b/>
              </w:rPr>
              <w:t xml:space="preserve">Comment </w:t>
            </w:r>
            <w:r w:rsidR="00522EF4">
              <w:rPr>
                <w:b/>
              </w:rPr>
              <w:t>on the effectiveness of methods to engage students as partners in their academic experience.</w:t>
            </w:r>
          </w:p>
          <w:p w:rsidR="008C5B62" w:rsidRDefault="008C5B62" w:rsidP="008C5B62">
            <w:pPr>
              <w:rPr>
                <w:b/>
              </w:rPr>
            </w:pPr>
          </w:p>
        </w:tc>
      </w:tr>
      <w:tr w:rsidR="008C5B62" w:rsidTr="00522EF4">
        <w:tc>
          <w:tcPr>
            <w:tcW w:w="9016" w:type="dxa"/>
            <w:gridSpan w:val="2"/>
          </w:tcPr>
          <w:p w:rsidR="008C5B62" w:rsidRDefault="008C5B62" w:rsidP="00522EF4">
            <w:pPr>
              <w:rPr>
                <w:b/>
              </w:rPr>
            </w:pPr>
          </w:p>
          <w:p w:rsidR="008C5B62" w:rsidRDefault="008C5B62" w:rsidP="00522EF4">
            <w:pPr>
              <w:rPr>
                <w:b/>
              </w:rPr>
            </w:pPr>
          </w:p>
          <w:p w:rsidR="008C5B62" w:rsidRDefault="008C5B62" w:rsidP="00522EF4">
            <w:pPr>
              <w:rPr>
                <w:b/>
              </w:rPr>
            </w:pPr>
          </w:p>
          <w:p w:rsidR="008C5B62" w:rsidRDefault="008C5B62" w:rsidP="00522EF4">
            <w:pPr>
              <w:rPr>
                <w:b/>
              </w:rPr>
            </w:pPr>
          </w:p>
          <w:p w:rsidR="008C5B62" w:rsidRDefault="008C5B62" w:rsidP="00522EF4">
            <w:pPr>
              <w:rPr>
                <w:b/>
              </w:rPr>
            </w:pPr>
          </w:p>
          <w:p w:rsidR="008C5B62" w:rsidRDefault="008C5B62" w:rsidP="00522EF4">
            <w:pPr>
              <w:rPr>
                <w:b/>
              </w:rPr>
            </w:pPr>
          </w:p>
          <w:p w:rsidR="008C5B62" w:rsidRDefault="008C5B62" w:rsidP="00522EF4">
            <w:pPr>
              <w:rPr>
                <w:b/>
              </w:rPr>
            </w:pPr>
          </w:p>
        </w:tc>
      </w:tr>
    </w:tbl>
    <w:p w:rsidR="008C5B62" w:rsidRDefault="008C5B62">
      <w:pPr>
        <w:rPr>
          <w:b/>
        </w:rPr>
      </w:pPr>
    </w:p>
    <w:tbl>
      <w:tblPr>
        <w:tblStyle w:val="TableGrid"/>
        <w:tblW w:w="0" w:type="auto"/>
        <w:tblLook w:val="04A0" w:firstRow="1" w:lastRow="0" w:firstColumn="1" w:lastColumn="0" w:noHBand="0" w:noVBand="1"/>
      </w:tblPr>
      <w:tblGrid>
        <w:gridCol w:w="562"/>
        <w:gridCol w:w="8454"/>
      </w:tblGrid>
      <w:tr w:rsidR="008C5B62" w:rsidTr="00367C5D">
        <w:tc>
          <w:tcPr>
            <w:tcW w:w="562" w:type="dxa"/>
            <w:shd w:val="clear" w:color="auto" w:fill="D9D9D9" w:themeFill="background1" w:themeFillShade="D9"/>
          </w:tcPr>
          <w:p w:rsidR="008C5B62" w:rsidRDefault="00522EF4" w:rsidP="00522EF4">
            <w:pPr>
              <w:rPr>
                <w:b/>
              </w:rPr>
            </w:pPr>
            <w:r>
              <w:rPr>
                <w:b/>
              </w:rPr>
              <w:t>4.</w:t>
            </w:r>
          </w:p>
        </w:tc>
        <w:tc>
          <w:tcPr>
            <w:tcW w:w="8454" w:type="dxa"/>
            <w:shd w:val="clear" w:color="auto" w:fill="D9D9D9" w:themeFill="background1" w:themeFillShade="D9"/>
          </w:tcPr>
          <w:p w:rsidR="008C5B62" w:rsidRDefault="008C5B62" w:rsidP="00522EF4">
            <w:pPr>
              <w:rPr>
                <w:b/>
              </w:rPr>
            </w:pPr>
            <w:r>
              <w:rPr>
                <w:b/>
              </w:rPr>
              <w:t>Areas of good practice</w:t>
            </w:r>
          </w:p>
          <w:p w:rsidR="008C5B62" w:rsidRDefault="008C5B62" w:rsidP="00522EF4">
            <w:pPr>
              <w:rPr>
                <w:b/>
              </w:rPr>
            </w:pPr>
          </w:p>
        </w:tc>
      </w:tr>
      <w:tr w:rsidR="008C5B62" w:rsidTr="00522EF4">
        <w:tc>
          <w:tcPr>
            <w:tcW w:w="9016" w:type="dxa"/>
            <w:gridSpan w:val="2"/>
          </w:tcPr>
          <w:p w:rsidR="008C5B62" w:rsidRDefault="00367C5D" w:rsidP="00522EF4">
            <w:pPr>
              <w:rPr>
                <w:i/>
              </w:rPr>
            </w:pPr>
            <w:r>
              <w:rPr>
                <w:i/>
              </w:rPr>
              <w:t>This section is the opportunity to reflect on those aspects of the delivery of the provision or the student experience that have been particularly positive or successful during the last twelve months.  This might be new or innovate practice, things that students have responded to particularly well, or the consequences of actions you have taken to deal with a particular problem or issue that have been particularly effective.</w:t>
            </w:r>
          </w:p>
          <w:p w:rsidR="00367C5D" w:rsidRDefault="00367C5D" w:rsidP="00522EF4">
            <w:pPr>
              <w:rPr>
                <w:i/>
              </w:rPr>
            </w:pPr>
          </w:p>
          <w:p w:rsidR="00367C5D" w:rsidRPr="00522EF4" w:rsidRDefault="00367C5D" w:rsidP="00522EF4">
            <w:pPr>
              <w:rPr>
                <w:i/>
              </w:rPr>
            </w:pPr>
            <w:r>
              <w:rPr>
                <w:i/>
              </w:rPr>
              <w:t xml:space="preserve">It </w:t>
            </w:r>
            <w:proofErr w:type="gramStart"/>
            <w:r>
              <w:rPr>
                <w:i/>
              </w:rPr>
              <w:t>is anticipated</w:t>
            </w:r>
            <w:proofErr w:type="gramEnd"/>
            <w:r>
              <w:rPr>
                <w:i/>
              </w:rPr>
              <w:t xml:space="preserve"> that others could learn from or adapt for their own use positive features identified in this section of the report.  If you have undertaken formal evaluation of these positive aspects, please include references.  However, it is not a requirement that there has been extensive formal evaluation of the things identified in this section – however if you have any evidence of some form of evaluation i.e. peer review or student feedback, whether formal or informal, please cite.</w:t>
            </w:r>
          </w:p>
          <w:p w:rsidR="008C5B62" w:rsidRDefault="008C5B62" w:rsidP="00522EF4">
            <w:pPr>
              <w:rPr>
                <w:b/>
              </w:rPr>
            </w:pPr>
          </w:p>
          <w:p w:rsidR="008C5B62" w:rsidRDefault="008C5B62" w:rsidP="00522EF4">
            <w:pPr>
              <w:rPr>
                <w:b/>
              </w:rPr>
            </w:pPr>
          </w:p>
          <w:p w:rsidR="008C5B62" w:rsidRDefault="008C5B62" w:rsidP="00522EF4">
            <w:pPr>
              <w:rPr>
                <w:b/>
              </w:rPr>
            </w:pPr>
          </w:p>
          <w:p w:rsidR="008C5B62" w:rsidRDefault="008C5B62" w:rsidP="00522EF4">
            <w:pPr>
              <w:rPr>
                <w:b/>
              </w:rPr>
            </w:pPr>
          </w:p>
        </w:tc>
      </w:tr>
    </w:tbl>
    <w:p w:rsidR="008C5B62" w:rsidRDefault="008C5B62">
      <w:pPr>
        <w:rPr>
          <w:b/>
        </w:rPr>
      </w:pPr>
    </w:p>
    <w:tbl>
      <w:tblPr>
        <w:tblStyle w:val="TableGrid"/>
        <w:tblW w:w="0" w:type="auto"/>
        <w:tblLook w:val="04A0" w:firstRow="1" w:lastRow="0" w:firstColumn="1" w:lastColumn="0" w:noHBand="0" w:noVBand="1"/>
      </w:tblPr>
      <w:tblGrid>
        <w:gridCol w:w="846"/>
        <w:gridCol w:w="8170"/>
      </w:tblGrid>
      <w:tr w:rsidR="00BE6049" w:rsidTr="00367C5D">
        <w:tc>
          <w:tcPr>
            <w:tcW w:w="846" w:type="dxa"/>
            <w:shd w:val="clear" w:color="auto" w:fill="D9D9D9" w:themeFill="background1" w:themeFillShade="D9"/>
          </w:tcPr>
          <w:p w:rsidR="00BE6049" w:rsidRDefault="00A53008" w:rsidP="00522EF4">
            <w:pPr>
              <w:rPr>
                <w:b/>
              </w:rPr>
            </w:pPr>
            <w:r>
              <w:rPr>
                <w:b/>
              </w:rPr>
              <w:t>5</w:t>
            </w:r>
            <w:r w:rsidR="009352F7">
              <w:rPr>
                <w:b/>
              </w:rPr>
              <w:t>.</w:t>
            </w:r>
          </w:p>
        </w:tc>
        <w:tc>
          <w:tcPr>
            <w:tcW w:w="8170" w:type="dxa"/>
            <w:shd w:val="clear" w:color="auto" w:fill="D9D9D9" w:themeFill="background1" w:themeFillShade="D9"/>
          </w:tcPr>
          <w:p w:rsidR="00BE6049" w:rsidRDefault="00BE6049" w:rsidP="00522EF4">
            <w:pPr>
              <w:rPr>
                <w:b/>
              </w:rPr>
            </w:pPr>
            <w:r>
              <w:rPr>
                <w:b/>
              </w:rPr>
              <w:t>Action Plan</w:t>
            </w:r>
          </w:p>
          <w:p w:rsidR="00BE6049" w:rsidRDefault="00BE6049" w:rsidP="00522EF4">
            <w:pPr>
              <w:rPr>
                <w:b/>
              </w:rPr>
            </w:pPr>
          </w:p>
        </w:tc>
      </w:tr>
      <w:tr w:rsidR="00BE6049" w:rsidTr="00522EF4">
        <w:tc>
          <w:tcPr>
            <w:tcW w:w="9016" w:type="dxa"/>
            <w:gridSpan w:val="2"/>
          </w:tcPr>
          <w:p w:rsidR="00BE6049" w:rsidRPr="00367C5D" w:rsidRDefault="005A153B" w:rsidP="00522EF4">
            <w:pPr>
              <w:rPr>
                <w:i/>
              </w:rPr>
            </w:pPr>
            <w:r w:rsidRPr="00367C5D">
              <w:rPr>
                <w:i/>
              </w:rPr>
              <w:t>This should be a summary of any issues and risks identified elsewhere in the report.  It may be helpful to consider presenting these as:</w:t>
            </w:r>
          </w:p>
          <w:p w:rsidR="005A153B" w:rsidRPr="00367C5D" w:rsidRDefault="005A153B" w:rsidP="00522EF4">
            <w:pPr>
              <w:rPr>
                <w:i/>
              </w:rPr>
            </w:pPr>
          </w:p>
          <w:p w:rsidR="005A153B" w:rsidRPr="00367C5D" w:rsidRDefault="005A153B" w:rsidP="00522EF4">
            <w:pPr>
              <w:rPr>
                <w:i/>
              </w:rPr>
            </w:pPr>
            <w:r w:rsidRPr="00367C5D">
              <w:rPr>
                <w:i/>
              </w:rPr>
              <w:t>Issue or risk</w:t>
            </w:r>
          </w:p>
          <w:p w:rsidR="005A153B" w:rsidRPr="00367C5D" w:rsidRDefault="005A153B" w:rsidP="00522EF4">
            <w:pPr>
              <w:rPr>
                <w:i/>
              </w:rPr>
            </w:pPr>
            <w:r w:rsidRPr="00367C5D">
              <w:rPr>
                <w:i/>
              </w:rPr>
              <w:t>Short description</w:t>
            </w:r>
          </w:p>
          <w:p w:rsidR="005A153B" w:rsidRPr="00367C5D" w:rsidRDefault="005A153B" w:rsidP="00522EF4">
            <w:pPr>
              <w:rPr>
                <w:i/>
              </w:rPr>
            </w:pPr>
            <w:r w:rsidRPr="00367C5D">
              <w:rPr>
                <w:i/>
              </w:rPr>
              <w:t>What action is to be taken</w:t>
            </w:r>
          </w:p>
          <w:p w:rsidR="005A153B" w:rsidRPr="00367C5D" w:rsidRDefault="005A153B" w:rsidP="00522EF4">
            <w:pPr>
              <w:rPr>
                <w:i/>
              </w:rPr>
            </w:pPr>
            <w:r w:rsidRPr="00367C5D">
              <w:rPr>
                <w:i/>
              </w:rPr>
              <w:t>Who will lead on the action</w:t>
            </w:r>
          </w:p>
          <w:p w:rsidR="005A153B" w:rsidRPr="00367C5D" w:rsidRDefault="005A153B" w:rsidP="00522EF4">
            <w:pPr>
              <w:rPr>
                <w:i/>
              </w:rPr>
            </w:pPr>
            <w:r w:rsidRPr="00367C5D">
              <w:rPr>
                <w:i/>
              </w:rPr>
              <w:t>Target date for completion</w:t>
            </w:r>
          </w:p>
          <w:p w:rsidR="00BE6049" w:rsidRDefault="00BE6049" w:rsidP="00522EF4">
            <w:pPr>
              <w:rPr>
                <w:b/>
              </w:rPr>
            </w:pPr>
          </w:p>
          <w:p w:rsidR="00BE6049" w:rsidRDefault="00BE6049" w:rsidP="00522EF4">
            <w:pPr>
              <w:rPr>
                <w:b/>
              </w:rPr>
            </w:pPr>
          </w:p>
          <w:p w:rsidR="00BE6049" w:rsidRDefault="00BE6049" w:rsidP="00522EF4">
            <w:pPr>
              <w:rPr>
                <w:b/>
              </w:rPr>
            </w:pPr>
          </w:p>
          <w:p w:rsidR="00BE6049" w:rsidRDefault="00BE6049" w:rsidP="00522EF4">
            <w:pPr>
              <w:rPr>
                <w:b/>
              </w:rPr>
            </w:pPr>
          </w:p>
        </w:tc>
      </w:tr>
    </w:tbl>
    <w:p w:rsidR="00367C5D" w:rsidRDefault="00367C5D">
      <w:pPr>
        <w:rPr>
          <w:b/>
        </w:rPr>
      </w:pPr>
    </w:p>
    <w:p w:rsidR="00367C5D" w:rsidRDefault="00367C5D">
      <w:pPr>
        <w:rPr>
          <w:b/>
        </w:rPr>
      </w:pPr>
      <w:r>
        <w:rPr>
          <w:b/>
        </w:rPr>
        <w:br w:type="page"/>
      </w:r>
    </w:p>
    <w:p w:rsidR="00BE6049" w:rsidRPr="009352F7" w:rsidRDefault="00367C5D">
      <w:pPr>
        <w:rPr>
          <w:rFonts w:cs="Arial"/>
          <w:b/>
          <w:sz w:val="20"/>
          <w:szCs w:val="20"/>
        </w:rPr>
      </w:pPr>
      <w:r w:rsidRPr="009352F7">
        <w:rPr>
          <w:rFonts w:cs="Arial"/>
          <w:b/>
          <w:sz w:val="20"/>
          <w:szCs w:val="20"/>
        </w:rPr>
        <w:lastRenderedPageBreak/>
        <w:t>Commentary on the performance of the provision under review</w:t>
      </w:r>
      <w:r w:rsidR="009352F7" w:rsidRPr="009352F7">
        <w:rPr>
          <w:rFonts w:cs="Arial"/>
          <w:b/>
          <w:sz w:val="20"/>
          <w:szCs w:val="20"/>
        </w:rPr>
        <w:t xml:space="preserve"> - Guidance</w:t>
      </w:r>
    </w:p>
    <w:p w:rsidR="009352F7" w:rsidRPr="009352F7" w:rsidRDefault="009352F7">
      <w:pPr>
        <w:rPr>
          <w:rFonts w:cs="Arial"/>
          <w:b/>
          <w:sz w:val="20"/>
          <w:szCs w:val="20"/>
        </w:rPr>
      </w:pPr>
    </w:p>
    <w:p w:rsidR="009352F7" w:rsidRDefault="009352F7" w:rsidP="009352F7">
      <w:pPr>
        <w:tabs>
          <w:tab w:val="left" w:pos="1741"/>
        </w:tabs>
        <w:rPr>
          <w:rFonts w:cs="Arial"/>
          <w:sz w:val="20"/>
          <w:szCs w:val="20"/>
        </w:rPr>
      </w:pPr>
      <w:r w:rsidRPr="009352F7">
        <w:rPr>
          <w:rFonts w:cs="Arial"/>
          <w:sz w:val="20"/>
          <w:szCs w:val="20"/>
        </w:rPr>
        <w:t xml:space="preserve">This section provides an opportunity for the course team </w:t>
      </w:r>
      <w:proofErr w:type="gramStart"/>
      <w:r w:rsidRPr="009352F7">
        <w:rPr>
          <w:rFonts w:cs="Arial"/>
          <w:sz w:val="20"/>
          <w:szCs w:val="20"/>
        </w:rPr>
        <w:t>to critically reflect</w:t>
      </w:r>
      <w:proofErr w:type="gramEnd"/>
      <w:r w:rsidRPr="009352F7">
        <w:rPr>
          <w:rFonts w:cs="Arial"/>
          <w:sz w:val="20"/>
          <w:szCs w:val="20"/>
        </w:rPr>
        <w:t xml:space="preserve"> on the performance of the course during the academic year that has just concluded.  </w:t>
      </w:r>
    </w:p>
    <w:p w:rsidR="00A53008" w:rsidRPr="009352F7" w:rsidRDefault="00A53008" w:rsidP="009352F7">
      <w:pPr>
        <w:tabs>
          <w:tab w:val="left" w:pos="1741"/>
        </w:tabs>
        <w:rPr>
          <w:rFonts w:cs="Arial"/>
          <w:sz w:val="20"/>
          <w:szCs w:val="20"/>
        </w:rPr>
      </w:pPr>
    </w:p>
    <w:p w:rsidR="009352F7" w:rsidRPr="009352F7" w:rsidRDefault="009352F7" w:rsidP="009352F7">
      <w:pPr>
        <w:pStyle w:val="ListParagraph"/>
        <w:numPr>
          <w:ilvl w:val="0"/>
          <w:numId w:val="3"/>
        </w:numPr>
        <w:tabs>
          <w:tab w:val="left" w:pos="1741"/>
        </w:tabs>
        <w:rPr>
          <w:rFonts w:cs="Arial"/>
          <w:sz w:val="20"/>
          <w:szCs w:val="20"/>
        </w:rPr>
      </w:pPr>
      <w:r w:rsidRPr="009352F7">
        <w:rPr>
          <w:rFonts w:cs="Arial"/>
          <w:sz w:val="20"/>
          <w:szCs w:val="20"/>
        </w:rPr>
        <w:t xml:space="preserve">What has gone well, and why </w:t>
      </w:r>
    </w:p>
    <w:p w:rsidR="009352F7" w:rsidRPr="009352F7" w:rsidRDefault="009352F7" w:rsidP="009352F7">
      <w:pPr>
        <w:pStyle w:val="ListParagraph"/>
        <w:numPr>
          <w:ilvl w:val="0"/>
          <w:numId w:val="3"/>
        </w:numPr>
        <w:tabs>
          <w:tab w:val="left" w:pos="1741"/>
        </w:tabs>
        <w:rPr>
          <w:rFonts w:cs="Arial"/>
          <w:sz w:val="20"/>
          <w:szCs w:val="20"/>
        </w:rPr>
      </w:pPr>
      <w:r w:rsidRPr="009352F7">
        <w:rPr>
          <w:rFonts w:cs="Arial"/>
          <w:sz w:val="20"/>
          <w:szCs w:val="20"/>
        </w:rPr>
        <w:t>What has gone less well, and why</w:t>
      </w:r>
    </w:p>
    <w:p w:rsidR="009352F7" w:rsidRPr="009352F7" w:rsidRDefault="009352F7" w:rsidP="009352F7">
      <w:pPr>
        <w:pStyle w:val="ListParagraph"/>
        <w:numPr>
          <w:ilvl w:val="0"/>
          <w:numId w:val="3"/>
        </w:numPr>
        <w:tabs>
          <w:tab w:val="left" w:pos="1741"/>
        </w:tabs>
        <w:rPr>
          <w:rFonts w:cs="Arial"/>
          <w:sz w:val="20"/>
          <w:szCs w:val="20"/>
        </w:rPr>
      </w:pPr>
      <w:r w:rsidRPr="009352F7">
        <w:rPr>
          <w:rFonts w:cs="Arial"/>
          <w:sz w:val="20"/>
          <w:szCs w:val="20"/>
        </w:rPr>
        <w:t>Are there particular factors that have impacted on the course, student performance or the student learning experience</w:t>
      </w:r>
    </w:p>
    <w:p w:rsidR="009352F7" w:rsidRPr="009352F7" w:rsidRDefault="009352F7" w:rsidP="009352F7">
      <w:pPr>
        <w:tabs>
          <w:tab w:val="left" w:pos="1741"/>
        </w:tabs>
        <w:rPr>
          <w:rFonts w:cs="Arial"/>
          <w:sz w:val="20"/>
          <w:szCs w:val="20"/>
        </w:rPr>
      </w:pPr>
    </w:p>
    <w:p w:rsidR="009352F7" w:rsidRPr="009352F7" w:rsidRDefault="009352F7" w:rsidP="009352F7">
      <w:pPr>
        <w:tabs>
          <w:tab w:val="left" w:pos="1741"/>
        </w:tabs>
        <w:rPr>
          <w:rFonts w:cs="Arial"/>
          <w:sz w:val="20"/>
          <w:szCs w:val="20"/>
        </w:rPr>
      </w:pPr>
      <w:r w:rsidRPr="009352F7">
        <w:rPr>
          <w:rFonts w:cs="Arial"/>
          <w:sz w:val="20"/>
          <w:szCs w:val="20"/>
        </w:rPr>
        <w:t xml:space="preserve">The following is </w:t>
      </w:r>
      <w:r w:rsidRPr="009352F7">
        <w:rPr>
          <w:rFonts w:cs="Arial"/>
          <w:b/>
          <w:sz w:val="20"/>
          <w:szCs w:val="20"/>
          <w:u w:val="single"/>
        </w:rPr>
        <w:t>not</w:t>
      </w:r>
      <w:r w:rsidRPr="009352F7">
        <w:rPr>
          <w:rFonts w:cs="Arial"/>
          <w:sz w:val="20"/>
          <w:szCs w:val="20"/>
        </w:rPr>
        <w:t xml:space="preserve"> a checklist – but you may wish to consider the following as prompts to guide your thinking:  </w:t>
      </w:r>
    </w:p>
    <w:p w:rsidR="009352F7" w:rsidRPr="009352F7" w:rsidRDefault="009352F7">
      <w:pPr>
        <w:rPr>
          <w:rFonts w:cs="Arial"/>
          <w:b/>
          <w:sz w:val="20"/>
          <w:szCs w:val="20"/>
        </w:rPr>
      </w:pPr>
    </w:p>
    <w:tbl>
      <w:tblPr>
        <w:tblStyle w:val="TableGrid"/>
        <w:tblW w:w="0" w:type="auto"/>
        <w:jc w:val="center"/>
        <w:tblLook w:val="04A0" w:firstRow="1" w:lastRow="0" w:firstColumn="1" w:lastColumn="0" w:noHBand="0" w:noVBand="1"/>
      </w:tblPr>
      <w:tblGrid>
        <w:gridCol w:w="4425"/>
        <w:gridCol w:w="4591"/>
      </w:tblGrid>
      <w:tr w:rsidR="009352F7" w:rsidRPr="009352F7" w:rsidTr="009352F7">
        <w:trPr>
          <w:jc w:val="center"/>
        </w:trPr>
        <w:tc>
          <w:tcPr>
            <w:tcW w:w="4425" w:type="dxa"/>
            <w:shd w:val="clear" w:color="auto" w:fill="C9C9C9" w:themeFill="accent3" w:themeFillTint="99"/>
          </w:tcPr>
          <w:p w:rsidR="009352F7" w:rsidRPr="009352F7" w:rsidRDefault="009352F7" w:rsidP="003C178A">
            <w:pPr>
              <w:tabs>
                <w:tab w:val="left" w:pos="1741"/>
              </w:tabs>
              <w:rPr>
                <w:rFonts w:cs="Arial"/>
                <w:b/>
                <w:color w:val="000000" w:themeColor="text1"/>
                <w:sz w:val="20"/>
                <w:szCs w:val="20"/>
              </w:rPr>
            </w:pPr>
            <w:r w:rsidRPr="009352F7">
              <w:rPr>
                <w:rFonts w:cs="Arial"/>
                <w:b/>
                <w:color w:val="000000" w:themeColor="text1"/>
                <w:sz w:val="20"/>
                <w:szCs w:val="20"/>
              </w:rPr>
              <w:t>Student Recruitment</w:t>
            </w:r>
          </w:p>
        </w:tc>
        <w:tc>
          <w:tcPr>
            <w:tcW w:w="4591" w:type="dxa"/>
            <w:shd w:val="clear" w:color="auto" w:fill="C9C9C9" w:themeFill="accent3" w:themeFillTint="99"/>
          </w:tcPr>
          <w:p w:rsidR="009352F7" w:rsidRPr="009352F7" w:rsidRDefault="009352F7" w:rsidP="003C178A">
            <w:pPr>
              <w:tabs>
                <w:tab w:val="left" w:pos="1741"/>
              </w:tabs>
              <w:rPr>
                <w:rFonts w:cs="Arial"/>
                <w:b/>
                <w:color w:val="000000" w:themeColor="text1"/>
                <w:sz w:val="20"/>
                <w:szCs w:val="20"/>
              </w:rPr>
            </w:pPr>
            <w:r w:rsidRPr="009352F7">
              <w:rPr>
                <w:rFonts w:cs="Arial"/>
                <w:b/>
                <w:color w:val="000000" w:themeColor="text1"/>
                <w:sz w:val="20"/>
                <w:szCs w:val="20"/>
              </w:rPr>
              <w:t>Assessment</w:t>
            </w:r>
          </w:p>
        </w:tc>
      </w:tr>
      <w:tr w:rsidR="009352F7" w:rsidRPr="009352F7" w:rsidTr="009352F7">
        <w:trPr>
          <w:trHeight w:val="2921"/>
          <w:jc w:val="center"/>
        </w:trPr>
        <w:tc>
          <w:tcPr>
            <w:tcW w:w="4425" w:type="dxa"/>
          </w:tcPr>
          <w:p w:rsidR="009352F7" w:rsidRPr="009352F7" w:rsidRDefault="009352F7" w:rsidP="003C178A">
            <w:pPr>
              <w:pStyle w:val="ListParagraph"/>
              <w:numPr>
                <w:ilvl w:val="0"/>
                <w:numId w:val="10"/>
              </w:numPr>
              <w:tabs>
                <w:tab w:val="left" w:pos="1741"/>
              </w:tabs>
              <w:rPr>
                <w:rFonts w:cs="Arial"/>
                <w:sz w:val="20"/>
                <w:szCs w:val="20"/>
              </w:rPr>
            </w:pPr>
            <w:r w:rsidRPr="009352F7">
              <w:rPr>
                <w:rFonts w:cs="Arial"/>
                <w:sz w:val="20"/>
                <w:szCs w:val="20"/>
              </w:rPr>
              <w:t>The achievement/challenge of meeting recruitment targets</w:t>
            </w:r>
          </w:p>
          <w:p w:rsidR="009352F7" w:rsidRPr="009352F7" w:rsidRDefault="009352F7" w:rsidP="003C178A">
            <w:pPr>
              <w:pStyle w:val="ListParagraph"/>
              <w:numPr>
                <w:ilvl w:val="0"/>
                <w:numId w:val="10"/>
              </w:numPr>
              <w:tabs>
                <w:tab w:val="left" w:pos="1741"/>
              </w:tabs>
              <w:rPr>
                <w:rFonts w:cs="Arial"/>
                <w:sz w:val="20"/>
                <w:szCs w:val="20"/>
              </w:rPr>
            </w:pPr>
            <w:r w:rsidRPr="009352F7">
              <w:rPr>
                <w:rFonts w:cs="Arial"/>
                <w:sz w:val="20"/>
                <w:szCs w:val="20"/>
              </w:rPr>
              <w:t>Tariff score for UG provision</w:t>
            </w:r>
          </w:p>
          <w:p w:rsidR="009352F7" w:rsidRPr="009352F7" w:rsidRDefault="009352F7" w:rsidP="003C178A">
            <w:pPr>
              <w:pStyle w:val="ListParagraph"/>
              <w:numPr>
                <w:ilvl w:val="0"/>
                <w:numId w:val="10"/>
              </w:numPr>
              <w:tabs>
                <w:tab w:val="left" w:pos="1741"/>
              </w:tabs>
              <w:rPr>
                <w:rFonts w:cs="Arial"/>
                <w:sz w:val="20"/>
                <w:szCs w:val="20"/>
              </w:rPr>
            </w:pPr>
            <w:r w:rsidRPr="009352F7">
              <w:rPr>
                <w:rFonts w:cs="Arial"/>
                <w:sz w:val="20"/>
                <w:szCs w:val="20"/>
              </w:rPr>
              <w:t>Effectiveness of welcome and induction</w:t>
            </w:r>
          </w:p>
          <w:p w:rsidR="009352F7" w:rsidRPr="009352F7" w:rsidRDefault="009352F7" w:rsidP="003C178A">
            <w:pPr>
              <w:pStyle w:val="ListParagraph"/>
              <w:tabs>
                <w:tab w:val="left" w:pos="1741"/>
              </w:tabs>
              <w:ind w:left="360"/>
              <w:rPr>
                <w:rFonts w:cs="Arial"/>
                <w:sz w:val="20"/>
                <w:szCs w:val="20"/>
              </w:rPr>
            </w:pPr>
          </w:p>
        </w:tc>
        <w:tc>
          <w:tcPr>
            <w:tcW w:w="4591" w:type="dxa"/>
          </w:tcPr>
          <w:p w:rsidR="009352F7" w:rsidRPr="009352F7" w:rsidRDefault="009352F7" w:rsidP="003C178A">
            <w:pPr>
              <w:pStyle w:val="ListParagraph"/>
              <w:numPr>
                <w:ilvl w:val="0"/>
                <w:numId w:val="7"/>
              </w:numPr>
              <w:tabs>
                <w:tab w:val="left" w:pos="1741"/>
              </w:tabs>
              <w:rPr>
                <w:rFonts w:cs="Arial"/>
                <w:sz w:val="20"/>
                <w:szCs w:val="20"/>
              </w:rPr>
            </w:pPr>
            <w:r w:rsidRPr="009352F7">
              <w:rPr>
                <w:rFonts w:cs="Arial"/>
                <w:sz w:val="20"/>
                <w:szCs w:val="20"/>
              </w:rPr>
              <w:t>Balance and variety of assessment methods used</w:t>
            </w:r>
          </w:p>
          <w:p w:rsidR="009352F7" w:rsidRPr="009352F7" w:rsidRDefault="009352F7" w:rsidP="003C178A">
            <w:pPr>
              <w:pStyle w:val="ListParagraph"/>
              <w:numPr>
                <w:ilvl w:val="0"/>
                <w:numId w:val="7"/>
              </w:numPr>
              <w:tabs>
                <w:tab w:val="left" w:pos="1741"/>
              </w:tabs>
              <w:rPr>
                <w:rFonts w:cs="Arial"/>
                <w:sz w:val="20"/>
                <w:szCs w:val="20"/>
              </w:rPr>
            </w:pPr>
            <w:r w:rsidRPr="009352F7">
              <w:rPr>
                <w:rFonts w:cs="Arial"/>
                <w:sz w:val="20"/>
                <w:szCs w:val="20"/>
              </w:rPr>
              <w:t>The reliability of assessing learning outcomes</w:t>
            </w:r>
          </w:p>
          <w:p w:rsidR="009352F7" w:rsidRPr="009352F7" w:rsidRDefault="009352F7" w:rsidP="003C178A">
            <w:pPr>
              <w:pStyle w:val="ListParagraph"/>
              <w:numPr>
                <w:ilvl w:val="0"/>
                <w:numId w:val="7"/>
              </w:numPr>
              <w:tabs>
                <w:tab w:val="left" w:pos="1741"/>
              </w:tabs>
              <w:rPr>
                <w:rFonts w:cs="Arial"/>
                <w:sz w:val="20"/>
                <w:szCs w:val="20"/>
              </w:rPr>
            </w:pPr>
            <w:r w:rsidRPr="009352F7">
              <w:rPr>
                <w:rFonts w:cs="Arial"/>
                <w:sz w:val="20"/>
                <w:szCs w:val="20"/>
              </w:rPr>
              <w:t>Turnaround times</w:t>
            </w:r>
          </w:p>
          <w:p w:rsidR="009352F7" w:rsidRPr="009352F7" w:rsidRDefault="009352F7" w:rsidP="003C178A">
            <w:pPr>
              <w:pStyle w:val="ListParagraph"/>
              <w:numPr>
                <w:ilvl w:val="0"/>
                <w:numId w:val="7"/>
              </w:numPr>
              <w:tabs>
                <w:tab w:val="left" w:pos="1741"/>
              </w:tabs>
              <w:rPr>
                <w:rFonts w:cs="Arial"/>
                <w:sz w:val="20"/>
                <w:szCs w:val="20"/>
              </w:rPr>
            </w:pPr>
            <w:r w:rsidRPr="009352F7">
              <w:rPr>
                <w:rFonts w:cs="Arial"/>
                <w:sz w:val="20"/>
                <w:szCs w:val="20"/>
              </w:rPr>
              <w:t>The effectiveness of systems for internal moderation</w:t>
            </w:r>
          </w:p>
          <w:p w:rsidR="009352F7" w:rsidRPr="009352F7" w:rsidRDefault="009352F7" w:rsidP="003C178A">
            <w:pPr>
              <w:pStyle w:val="ListParagraph"/>
              <w:numPr>
                <w:ilvl w:val="0"/>
                <w:numId w:val="7"/>
              </w:numPr>
              <w:tabs>
                <w:tab w:val="left" w:pos="1741"/>
              </w:tabs>
              <w:rPr>
                <w:rFonts w:cs="Arial"/>
                <w:sz w:val="20"/>
                <w:szCs w:val="20"/>
              </w:rPr>
            </w:pPr>
            <w:r w:rsidRPr="009352F7">
              <w:rPr>
                <w:rFonts w:cs="Arial"/>
                <w:sz w:val="20"/>
                <w:szCs w:val="20"/>
              </w:rPr>
              <w:t>The effectiveness of the arrangements for making sure students receive feedback and feed-forward on summative and formative assessment</w:t>
            </w:r>
          </w:p>
          <w:p w:rsidR="009352F7" w:rsidRPr="009352F7" w:rsidRDefault="009352F7" w:rsidP="003C178A">
            <w:pPr>
              <w:pStyle w:val="ListParagraph"/>
              <w:numPr>
                <w:ilvl w:val="0"/>
                <w:numId w:val="7"/>
              </w:numPr>
              <w:tabs>
                <w:tab w:val="left" w:pos="1741"/>
              </w:tabs>
              <w:rPr>
                <w:rFonts w:cs="Arial"/>
                <w:sz w:val="20"/>
                <w:szCs w:val="20"/>
              </w:rPr>
            </w:pPr>
            <w:r w:rsidRPr="009352F7">
              <w:rPr>
                <w:rFonts w:cs="Arial"/>
                <w:sz w:val="20"/>
                <w:szCs w:val="20"/>
              </w:rPr>
              <w:t xml:space="preserve">The views of external examiners </w:t>
            </w:r>
          </w:p>
        </w:tc>
      </w:tr>
      <w:tr w:rsidR="009352F7" w:rsidRPr="009352F7" w:rsidTr="009352F7">
        <w:trPr>
          <w:jc w:val="center"/>
        </w:trPr>
        <w:tc>
          <w:tcPr>
            <w:tcW w:w="4425" w:type="dxa"/>
            <w:shd w:val="clear" w:color="auto" w:fill="C9C9C9" w:themeFill="accent3" w:themeFillTint="99"/>
          </w:tcPr>
          <w:p w:rsidR="009352F7" w:rsidRPr="009352F7" w:rsidRDefault="009352F7" w:rsidP="003C178A">
            <w:pPr>
              <w:tabs>
                <w:tab w:val="left" w:pos="1741"/>
              </w:tabs>
              <w:rPr>
                <w:rFonts w:cs="Arial"/>
                <w:b/>
                <w:sz w:val="20"/>
                <w:szCs w:val="20"/>
              </w:rPr>
            </w:pPr>
            <w:r w:rsidRPr="009352F7">
              <w:rPr>
                <w:rFonts w:cs="Arial"/>
                <w:b/>
                <w:sz w:val="20"/>
                <w:szCs w:val="20"/>
              </w:rPr>
              <w:t>Learning &amp; Teaching</w:t>
            </w:r>
          </w:p>
        </w:tc>
        <w:tc>
          <w:tcPr>
            <w:tcW w:w="4591" w:type="dxa"/>
            <w:shd w:val="clear" w:color="auto" w:fill="C9C9C9" w:themeFill="accent3" w:themeFillTint="99"/>
          </w:tcPr>
          <w:p w:rsidR="009352F7" w:rsidRPr="009352F7" w:rsidRDefault="009352F7" w:rsidP="003C178A">
            <w:pPr>
              <w:tabs>
                <w:tab w:val="left" w:pos="1741"/>
              </w:tabs>
              <w:rPr>
                <w:rFonts w:cs="Arial"/>
                <w:b/>
                <w:sz w:val="20"/>
                <w:szCs w:val="20"/>
              </w:rPr>
            </w:pPr>
            <w:r w:rsidRPr="009352F7">
              <w:rPr>
                <w:rFonts w:cs="Arial"/>
                <w:b/>
                <w:sz w:val="20"/>
                <w:szCs w:val="20"/>
              </w:rPr>
              <w:t>Student outcomes</w:t>
            </w:r>
          </w:p>
        </w:tc>
      </w:tr>
      <w:tr w:rsidR="009352F7" w:rsidRPr="009352F7" w:rsidTr="009352F7">
        <w:trPr>
          <w:jc w:val="center"/>
        </w:trPr>
        <w:tc>
          <w:tcPr>
            <w:tcW w:w="4425" w:type="dxa"/>
          </w:tcPr>
          <w:p w:rsidR="009352F7" w:rsidRPr="009352F7" w:rsidRDefault="009352F7" w:rsidP="003C178A">
            <w:pPr>
              <w:pStyle w:val="ListParagraph"/>
              <w:numPr>
                <w:ilvl w:val="0"/>
                <w:numId w:val="4"/>
              </w:numPr>
              <w:tabs>
                <w:tab w:val="left" w:pos="1741"/>
              </w:tabs>
              <w:rPr>
                <w:rFonts w:cs="Arial"/>
                <w:sz w:val="20"/>
                <w:szCs w:val="20"/>
              </w:rPr>
            </w:pPr>
            <w:r w:rsidRPr="009352F7">
              <w:rPr>
                <w:rFonts w:cs="Arial"/>
                <w:sz w:val="20"/>
                <w:szCs w:val="20"/>
              </w:rPr>
              <w:t>The effectiveness of learning and teaching methods</w:t>
            </w:r>
          </w:p>
          <w:p w:rsidR="009352F7" w:rsidRPr="009352F7" w:rsidRDefault="009352F7" w:rsidP="003C178A">
            <w:pPr>
              <w:pStyle w:val="ListParagraph"/>
              <w:numPr>
                <w:ilvl w:val="0"/>
                <w:numId w:val="4"/>
              </w:numPr>
              <w:tabs>
                <w:tab w:val="left" w:pos="1741"/>
              </w:tabs>
              <w:rPr>
                <w:rFonts w:cs="Arial"/>
                <w:sz w:val="20"/>
                <w:szCs w:val="20"/>
              </w:rPr>
            </w:pPr>
            <w:r w:rsidRPr="009352F7">
              <w:rPr>
                <w:rFonts w:cs="Arial"/>
                <w:sz w:val="20"/>
                <w:szCs w:val="20"/>
              </w:rPr>
              <w:t>The fitness for purpose of on-line materials</w:t>
            </w:r>
          </w:p>
          <w:p w:rsidR="009352F7" w:rsidRPr="009352F7" w:rsidRDefault="009352F7" w:rsidP="003C178A">
            <w:pPr>
              <w:pStyle w:val="ListParagraph"/>
              <w:numPr>
                <w:ilvl w:val="0"/>
                <w:numId w:val="4"/>
              </w:numPr>
              <w:tabs>
                <w:tab w:val="left" w:pos="1741"/>
              </w:tabs>
              <w:rPr>
                <w:rFonts w:cs="Arial"/>
                <w:sz w:val="20"/>
                <w:szCs w:val="20"/>
              </w:rPr>
            </w:pPr>
            <w:r w:rsidRPr="009352F7">
              <w:rPr>
                <w:rFonts w:cs="Arial"/>
                <w:sz w:val="20"/>
                <w:szCs w:val="20"/>
              </w:rPr>
              <w:t>Measures to ensure that the curriculum is inclusive</w:t>
            </w:r>
          </w:p>
          <w:p w:rsidR="009352F7" w:rsidRPr="009352F7" w:rsidRDefault="009352F7" w:rsidP="009352F7">
            <w:pPr>
              <w:tabs>
                <w:tab w:val="left" w:pos="1741"/>
              </w:tabs>
              <w:rPr>
                <w:rFonts w:cs="Arial"/>
                <w:sz w:val="20"/>
                <w:szCs w:val="20"/>
              </w:rPr>
            </w:pPr>
          </w:p>
        </w:tc>
        <w:tc>
          <w:tcPr>
            <w:tcW w:w="4591" w:type="dxa"/>
          </w:tcPr>
          <w:p w:rsidR="009352F7" w:rsidRPr="009352F7" w:rsidRDefault="009352F7" w:rsidP="003C178A">
            <w:pPr>
              <w:pStyle w:val="ListParagraph"/>
              <w:numPr>
                <w:ilvl w:val="0"/>
                <w:numId w:val="9"/>
              </w:numPr>
              <w:tabs>
                <w:tab w:val="left" w:pos="1741"/>
              </w:tabs>
              <w:rPr>
                <w:rFonts w:cs="Arial"/>
                <w:sz w:val="20"/>
                <w:szCs w:val="20"/>
              </w:rPr>
            </w:pPr>
            <w:r w:rsidRPr="009352F7">
              <w:rPr>
                <w:rFonts w:cs="Arial"/>
                <w:sz w:val="20"/>
                <w:szCs w:val="20"/>
              </w:rPr>
              <w:t>Progression rates from year to year</w:t>
            </w:r>
          </w:p>
          <w:p w:rsidR="009352F7" w:rsidRPr="009352F7" w:rsidRDefault="009352F7" w:rsidP="003C178A">
            <w:pPr>
              <w:pStyle w:val="ListParagraph"/>
              <w:numPr>
                <w:ilvl w:val="0"/>
                <w:numId w:val="9"/>
              </w:numPr>
              <w:tabs>
                <w:tab w:val="left" w:pos="1741"/>
              </w:tabs>
              <w:rPr>
                <w:rFonts w:cs="Arial"/>
                <w:b/>
                <w:sz w:val="20"/>
                <w:szCs w:val="20"/>
              </w:rPr>
            </w:pPr>
            <w:r w:rsidRPr="009352F7">
              <w:rPr>
                <w:rFonts w:cs="Arial"/>
                <w:sz w:val="20"/>
                <w:szCs w:val="20"/>
              </w:rPr>
              <w:t>resit rates</w:t>
            </w:r>
          </w:p>
          <w:p w:rsidR="009352F7" w:rsidRPr="009352F7" w:rsidRDefault="009352F7" w:rsidP="003C178A">
            <w:pPr>
              <w:pStyle w:val="ListParagraph"/>
              <w:numPr>
                <w:ilvl w:val="0"/>
                <w:numId w:val="9"/>
              </w:numPr>
              <w:tabs>
                <w:tab w:val="left" w:pos="1741"/>
              </w:tabs>
              <w:rPr>
                <w:rFonts w:cs="Arial"/>
                <w:b/>
                <w:sz w:val="20"/>
                <w:szCs w:val="20"/>
              </w:rPr>
            </w:pPr>
            <w:r w:rsidRPr="009352F7">
              <w:rPr>
                <w:rFonts w:cs="Arial"/>
                <w:sz w:val="20"/>
                <w:szCs w:val="20"/>
              </w:rPr>
              <w:t>Performance of students in different types of assessment</w:t>
            </w:r>
          </w:p>
          <w:p w:rsidR="009352F7" w:rsidRPr="009352F7" w:rsidRDefault="009352F7" w:rsidP="003C178A">
            <w:pPr>
              <w:pStyle w:val="ListParagraph"/>
              <w:numPr>
                <w:ilvl w:val="0"/>
                <w:numId w:val="9"/>
              </w:numPr>
              <w:tabs>
                <w:tab w:val="left" w:pos="1741"/>
              </w:tabs>
              <w:rPr>
                <w:rFonts w:cs="Arial"/>
                <w:b/>
                <w:sz w:val="20"/>
                <w:szCs w:val="20"/>
              </w:rPr>
            </w:pPr>
            <w:r w:rsidRPr="009352F7">
              <w:rPr>
                <w:rFonts w:cs="Arial"/>
                <w:sz w:val="20"/>
                <w:szCs w:val="20"/>
              </w:rPr>
              <w:t>Proportion of good honours degrees/merits/distinctions awarded</w:t>
            </w:r>
          </w:p>
          <w:p w:rsidR="009352F7" w:rsidRPr="009352F7" w:rsidRDefault="009352F7" w:rsidP="003C178A">
            <w:pPr>
              <w:pStyle w:val="ListParagraph"/>
              <w:numPr>
                <w:ilvl w:val="0"/>
                <w:numId w:val="9"/>
              </w:numPr>
              <w:tabs>
                <w:tab w:val="left" w:pos="1741"/>
              </w:tabs>
              <w:rPr>
                <w:rFonts w:cs="Arial"/>
                <w:b/>
                <w:sz w:val="20"/>
                <w:szCs w:val="20"/>
              </w:rPr>
            </w:pPr>
            <w:r w:rsidRPr="009352F7">
              <w:rPr>
                <w:rFonts w:cs="Arial"/>
                <w:sz w:val="20"/>
                <w:szCs w:val="20"/>
              </w:rPr>
              <w:t>Effectiveness of measures to reduce the attainment gap</w:t>
            </w:r>
          </w:p>
        </w:tc>
      </w:tr>
      <w:tr w:rsidR="009352F7" w:rsidRPr="009352F7" w:rsidTr="009352F7">
        <w:trPr>
          <w:jc w:val="center"/>
        </w:trPr>
        <w:tc>
          <w:tcPr>
            <w:tcW w:w="4425" w:type="dxa"/>
            <w:shd w:val="clear" w:color="auto" w:fill="C9C9C9" w:themeFill="accent3" w:themeFillTint="99"/>
          </w:tcPr>
          <w:p w:rsidR="009352F7" w:rsidRPr="009352F7" w:rsidRDefault="009352F7" w:rsidP="003C178A">
            <w:pPr>
              <w:tabs>
                <w:tab w:val="left" w:pos="1741"/>
              </w:tabs>
              <w:rPr>
                <w:rFonts w:cs="Arial"/>
                <w:b/>
                <w:sz w:val="20"/>
                <w:szCs w:val="20"/>
              </w:rPr>
            </w:pPr>
            <w:r w:rsidRPr="009352F7">
              <w:rPr>
                <w:rFonts w:cs="Arial"/>
                <w:b/>
                <w:sz w:val="20"/>
                <w:szCs w:val="20"/>
              </w:rPr>
              <w:t>Resources</w:t>
            </w:r>
          </w:p>
        </w:tc>
        <w:tc>
          <w:tcPr>
            <w:tcW w:w="4591" w:type="dxa"/>
            <w:shd w:val="clear" w:color="auto" w:fill="C9C9C9" w:themeFill="accent3" w:themeFillTint="99"/>
          </w:tcPr>
          <w:p w:rsidR="009352F7" w:rsidRPr="009352F7" w:rsidRDefault="009352F7" w:rsidP="003C178A">
            <w:pPr>
              <w:tabs>
                <w:tab w:val="left" w:pos="1741"/>
              </w:tabs>
              <w:rPr>
                <w:rFonts w:cs="Arial"/>
                <w:b/>
                <w:sz w:val="20"/>
                <w:szCs w:val="20"/>
              </w:rPr>
            </w:pPr>
            <w:r>
              <w:rPr>
                <w:rFonts w:cs="Arial"/>
                <w:b/>
                <w:sz w:val="20"/>
                <w:szCs w:val="20"/>
              </w:rPr>
              <w:t>Student Survey results</w:t>
            </w:r>
          </w:p>
        </w:tc>
      </w:tr>
      <w:tr w:rsidR="009352F7" w:rsidRPr="009352F7" w:rsidTr="009352F7">
        <w:trPr>
          <w:jc w:val="center"/>
        </w:trPr>
        <w:tc>
          <w:tcPr>
            <w:tcW w:w="4425" w:type="dxa"/>
          </w:tcPr>
          <w:p w:rsidR="009352F7" w:rsidRPr="009352F7" w:rsidRDefault="009352F7" w:rsidP="009352F7">
            <w:pPr>
              <w:pStyle w:val="ListParagraph"/>
              <w:numPr>
                <w:ilvl w:val="0"/>
                <w:numId w:val="4"/>
              </w:numPr>
              <w:tabs>
                <w:tab w:val="left" w:pos="1741"/>
              </w:tabs>
              <w:rPr>
                <w:rFonts w:cs="Arial"/>
                <w:b/>
                <w:sz w:val="20"/>
                <w:szCs w:val="20"/>
              </w:rPr>
            </w:pPr>
            <w:r w:rsidRPr="009352F7">
              <w:rPr>
                <w:rFonts w:cs="Arial"/>
                <w:sz w:val="20"/>
                <w:szCs w:val="20"/>
              </w:rPr>
              <w:t>Change in the resource base for the course (including the departure of key staff and new arrivals)</w:t>
            </w:r>
          </w:p>
          <w:p w:rsidR="009352F7" w:rsidRPr="009352F7" w:rsidRDefault="009352F7" w:rsidP="009352F7">
            <w:pPr>
              <w:pStyle w:val="ListParagraph"/>
              <w:numPr>
                <w:ilvl w:val="0"/>
                <w:numId w:val="4"/>
              </w:numPr>
              <w:tabs>
                <w:tab w:val="left" w:pos="1741"/>
              </w:tabs>
              <w:rPr>
                <w:rFonts w:cs="Arial"/>
                <w:b/>
                <w:sz w:val="20"/>
                <w:szCs w:val="20"/>
              </w:rPr>
            </w:pPr>
            <w:r w:rsidRPr="009352F7">
              <w:rPr>
                <w:rFonts w:cs="Arial"/>
                <w:sz w:val="20"/>
                <w:szCs w:val="20"/>
              </w:rPr>
              <w:t>Staff development issues and priorities</w:t>
            </w:r>
          </w:p>
          <w:p w:rsidR="009352F7" w:rsidRPr="009352F7" w:rsidRDefault="009352F7" w:rsidP="009352F7">
            <w:pPr>
              <w:pStyle w:val="ListParagraph"/>
              <w:numPr>
                <w:ilvl w:val="0"/>
                <w:numId w:val="4"/>
              </w:numPr>
              <w:tabs>
                <w:tab w:val="left" w:pos="1741"/>
              </w:tabs>
              <w:rPr>
                <w:rFonts w:cs="Arial"/>
                <w:b/>
                <w:sz w:val="20"/>
                <w:szCs w:val="20"/>
              </w:rPr>
            </w:pPr>
            <w:r w:rsidRPr="009352F7">
              <w:rPr>
                <w:rFonts w:cs="Arial"/>
                <w:sz w:val="20"/>
                <w:szCs w:val="20"/>
              </w:rPr>
              <w:t>Adequacy of an access to learning resources (teaching accommodation including specialist accommodation, hardware, software, library resources, specialist equipment)</w:t>
            </w:r>
          </w:p>
          <w:p w:rsidR="009352F7" w:rsidRPr="009352F7" w:rsidRDefault="009352F7" w:rsidP="009352F7">
            <w:pPr>
              <w:pStyle w:val="ListParagraph"/>
              <w:numPr>
                <w:ilvl w:val="0"/>
                <w:numId w:val="4"/>
              </w:numPr>
              <w:tabs>
                <w:tab w:val="left" w:pos="1741"/>
              </w:tabs>
              <w:rPr>
                <w:rFonts w:cs="Arial"/>
                <w:b/>
                <w:sz w:val="20"/>
                <w:szCs w:val="20"/>
              </w:rPr>
            </w:pPr>
            <w:r w:rsidRPr="009352F7">
              <w:rPr>
                <w:rFonts w:cs="Arial"/>
                <w:sz w:val="20"/>
                <w:szCs w:val="20"/>
              </w:rPr>
              <w:t>Access to placements (where relevant)</w:t>
            </w:r>
          </w:p>
          <w:p w:rsidR="009352F7" w:rsidRPr="009352F7" w:rsidRDefault="009352F7" w:rsidP="009352F7">
            <w:pPr>
              <w:pStyle w:val="ListParagraph"/>
              <w:numPr>
                <w:ilvl w:val="0"/>
                <w:numId w:val="4"/>
              </w:numPr>
              <w:tabs>
                <w:tab w:val="left" w:pos="1741"/>
              </w:tabs>
              <w:rPr>
                <w:rFonts w:cs="Arial"/>
                <w:b/>
                <w:sz w:val="20"/>
                <w:szCs w:val="20"/>
              </w:rPr>
            </w:pPr>
            <w:r w:rsidRPr="009352F7">
              <w:rPr>
                <w:rFonts w:cs="Arial"/>
                <w:sz w:val="20"/>
                <w:szCs w:val="20"/>
              </w:rPr>
              <w:t xml:space="preserve">Staff achievements (FHEA/PhD </w:t>
            </w:r>
            <w:proofErr w:type="spellStart"/>
            <w:r w:rsidRPr="009352F7">
              <w:rPr>
                <w:rFonts w:cs="Arial"/>
                <w:sz w:val="20"/>
                <w:szCs w:val="20"/>
              </w:rPr>
              <w:t>etc</w:t>
            </w:r>
            <w:proofErr w:type="spellEnd"/>
            <w:r w:rsidRPr="009352F7">
              <w:rPr>
                <w:rFonts w:cs="Arial"/>
                <w:sz w:val="20"/>
                <w:szCs w:val="20"/>
              </w:rPr>
              <w:t>,)</w:t>
            </w:r>
          </w:p>
        </w:tc>
        <w:tc>
          <w:tcPr>
            <w:tcW w:w="4591" w:type="dxa"/>
          </w:tcPr>
          <w:p w:rsidR="009352F7" w:rsidRPr="009352F7" w:rsidRDefault="009352F7" w:rsidP="009352F7">
            <w:pPr>
              <w:pStyle w:val="ListParagraph"/>
              <w:numPr>
                <w:ilvl w:val="0"/>
                <w:numId w:val="11"/>
              </w:numPr>
              <w:tabs>
                <w:tab w:val="left" w:pos="1741"/>
              </w:tabs>
              <w:rPr>
                <w:rFonts w:cs="Arial"/>
                <w:sz w:val="20"/>
                <w:szCs w:val="20"/>
              </w:rPr>
            </w:pPr>
            <w:r w:rsidRPr="009352F7">
              <w:rPr>
                <w:rFonts w:cs="Arial"/>
                <w:sz w:val="20"/>
                <w:szCs w:val="20"/>
              </w:rPr>
              <w:t xml:space="preserve">An analysis of the NSS results for </w:t>
            </w:r>
            <w:r w:rsidR="00EC0BB6">
              <w:rPr>
                <w:rFonts w:cs="Arial"/>
                <w:sz w:val="20"/>
                <w:szCs w:val="20"/>
              </w:rPr>
              <w:t>2019</w:t>
            </w:r>
            <w:bookmarkStart w:id="0" w:name="_GoBack"/>
            <w:bookmarkEnd w:id="0"/>
            <w:r w:rsidRPr="009352F7">
              <w:rPr>
                <w:rFonts w:cs="Arial"/>
                <w:sz w:val="20"/>
                <w:szCs w:val="20"/>
              </w:rPr>
              <w:t xml:space="preserve"> and how they compare with previous years</w:t>
            </w:r>
          </w:p>
          <w:p w:rsidR="009352F7" w:rsidRPr="009352F7" w:rsidRDefault="009352F7" w:rsidP="009352F7">
            <w:pPr>
              <w:pStyle w:val="ListParagraph"/>
              <w:numPr>
                <w:ilvl w:val="0"/>
                <w:numId w:val="11"/>
              </w:numPr>
              <w:tabs>
                <w:tab w:val="left" w:pos="1741"/>
              </w:tabs>
              <w:rPr>
                <w:rFonts w:cs="Arial"/>
                <w:sz w:val="20"/>
                <w:szCs w:val="20"/>
              </w:rPr>
            </w:pPr>
            <w:r w:rsidRPr="009352F7">
              <w:rPr>
                <w:rFonts w:cs="Arial"/>
                <w:sz w:val="20"/>
                <w:szCs w:val="20"/>
              </w:rPr>
              <w:t>An indication of whether actions taken in the past have had a bearing on the most recent results</w:t>
            </w:r>
          </w:p>
          <w:p w:rsidR="009352F7" w:rsidRPr="00A53008" w:rsidRDefault="009352F7" w:rsidP="00A53008">
            <w:pPr>
              <w:tabs>
                <w:tab w:val="left" w:pos="1741"/>
              </w:tabs>
              <w:rPr>
                <w:rFonts w:cs="Arial"/>
                <w:sz w:val="20"/>
                <w:szCs w:val="20"/>
              </w:rPr>
            </w:pPr>
          </w:p>
        </w:tc>
      </w:tr>
      <w:tr w:rsidR="009352F7" w:rsidRPr="009352F7" w:rsidTr="009352F7">
        <w:trPr>
          <w:jc w:val="center"/>
        </w:trPr>
        <w:tc>
          <w:tcPr>
            <w:tcW w:w="4425" w:type="dxa"/>
            <w:shd w:val="clear" w:color="auto" w:fill="C9C9C9" w:themeFill="accent3" w:themeFillTint="99"/>
          </w:tcPr>
          <w:p w:rsidR="009352F7" w:rsidRPr="009352F7" w:rsidRDefault="009352F7" w:rsidP="009352F7">
            <w:pPr>
              <w:tabs>
                <w:tab w:val="left" w:pos="1741"/>
              </w:tabs>
              <w:rPr>
                <w:rFonts w:cs="Arial"/>
                <w:b/>
                <w:sz w:val="20"/>
                <w:szCs w:val="20"/>
              </w:rPr>
            </w:pPr>
            <w:r w:rsidRPr="009352F7">
              <w:rPr>
                <w:rFonts w:cs="Arial"/>
                <w:b/>
                <w:sz w:val="20"/>
                <w:szCs w:val="20"/>
              </w:rPr>
              <w:t>Quality Assurance</w:t>
            </w:r>
          </w:p>
        </w:tc>
        <w:tc>
          <w:tcPr>
            <w:tcW w:w="4591" w:type="dxa"/>
            <w:shd w:val="clear" w:color="auto" w:fill="C9C9C9" w:themeFill="accent3" w:themeFillTint="99"/>
          </w:tcPr>
          <w:p w:rsidR="009352F7" w:rsidRPr="009352F7" w:rsidRDefault="009352F7" w:rsidP="009352F7">
            <w:pPr>
              <w:tabs>
                <w:tab w:val="left" w:pos="1741"/>
              </w:tabs>
              <w:rPr>
                <w:rFonts w:cs="Arial"/>
                <w:b/>
                <w:sz w:val="20"/>
                <w:szCs w:val="20"/>
              </w:rPr>
            </w:pPr>
            <w:r w:rsidRPr="009352F7">
              <w:rPr>
                <w:rFonts w:cs="Arial"/>
                <w:b/>
                <w:sz w:val="20"/>
                <w:szCs w:val="20"/>
              </w:rPr>
              <w:t>Professional, Statutory &amp; Regulatory Bodies (PSRBs)</w:t>
            </w:r>
          </w:p>
        </w:tc>
      </w:tr>
      <w:tr w:rsidR="009352F7" w:rsidRPr="009352F7" w:rsidTr="009352F7">
        <w:trPr>
          <w:jc w:val="center"/>
        </w:trPr>
        <w:tc>
          <w:tcPr>
            <w:tcW w:w="4425" w:type="dxa"/>
          </w:tcPr>
          <w:p w:rsidR="009352F7" w:rsidRPr="009352F7" w:rsidRDefault="009352F7" w:rsidP="009352F7">
            <w:pPr>
              <w:pStyle w:val="ListParagraph"/>
              <w:numPr>
                <w:ilvl w:val="0"/>
                <w:numId w:val="6"/>
              </w:numPr>
              <w:tabs>
                <w:tab w:val="left" w:pos="1741"/>
              </w:tabs>
              <w:rPr>
                <w:rFonts w:cs="Arial"/>
                <w:sz w:val="20"/>
                <w:szCs w:val="20"/>
              </w:rPr>
            </w:pPr>
            <w:r w:rsidRPr="009352F7">
              <w:rPr>
                <w:rFonts w:cs="Arial"/>
                <w:sz w:val="20"/>
                <w:szCs w:val="20"/>
              </w:rPr>
              <w:t>Update on action plans from periodic review where appropriate</w:t>
            </w:r>
          </w:p>
        </w:tc>
        <w:tc>
          <w:tcPr>
            <w:tcW w:w="4591" w:type="dxa"/>
          </w:tcPr>
          <w:p w:rsidR="009352F7" w:rsidRPr="009352F7" w:rsidRDefault="009352F7" w:rsidP="009352F7">
            <w:pPr>
              <w:pStyle w:val="ListParagraph"/>
              <w:numPr>
                <w:ilvl w:val="0"/>
                <w:numId w:val="8"/>
              </w:numPr>
              <w:tabs>
                <w:tab w:val="left" w:pos="1741"/>
              </w:tabs>
              <w:rPr>
                <w:rFonts w:cs="Arial"/>
                <w:sz w:val="20"/>
                <w:szCs w:val="20"/>
              </w:rPr>
            </w:pPr>
            <w:r w:rsidRPr="009352F7">
              <w:rPr>
                <w:rFonts w:cs="Arial"/>
                <w:sz w:val="20"/>
                <w:szCs w:val="20"/>
              </w:rPr>
              <w:t xml:space="preserve">Any new or anticipatory changes from </w:t>
            </w:r>
            <w:r w:rsidR="00A53008">
              <w:rPr>
                <w:rFonts w:cs="Arial"/>
                <w:sz w:val="20"/>
                <w:szCs w:val="20"/>
              </w:rPr>
              <w:t>relevant</w:t>
            </w:r>
            <w:r w:rsidRPr="009352F7">
              <w:rPr>
                <w:rFonts w:cs="Arial"/>
                <w:sz w:val="20"/>
                <w:szCs w:val="20"/>
              </w:rPr>
              <w:t xml:space="preserve"> PSRB</w:t>
            </w:r>
          </w:p>
          <w:p w:rsidR="009352F7" w:rsidRPr="009352F7" w:rsidRDefault="009352F7" w:rsidP="009352F7">
            <w:pPr>
              <w:pStyle w:val="ListParagraph"/>
              <w:numPr>
                <w:ilvl w:val="0"/>
                <w:numId w:val="8"/>
              </w:numPr>
              <w:tabs>
                <w:tab w:val="left" w:pos="1741"/>
              </w:tabs>
              <w:rPr>
                <w:rFonts w:cs="Arial"/>
                <w:sz w:val="20"/>
                <w:szCs w:val="20"/>
              </w:rPr>
            </w:pPr>
            <w:r w:rsidRPr="009352F7">
              <w:rPr>
                <w:rFonts w:cs="Arial"/>
                <w:sz w:val="20"/>
                <w:szCs w:val="20"/>
              </w:rPr>
              <w:t>Continued compliance with the expectations of PSRBs</w:t>
            </w:r>
          </w:p>
        </w:tc>
      </w:tr>
      <w:tr w:rsidR="009352F7" w:rsidRPr="009352F7" w:rsidTr="009352F7">
        <w:tblPrEx>
          <w:jc w:val="left"/>
        </w:tblPrEx>
        <w:tc>
          <w:tcPr>
            <w:tcW w:w="9016" w:type="dxa"/>
            <w:gridSpan w:val="2"/>
            <w:shd w:val="clear" w:color="auto" w:fill="D9D9D9" w:themeFill="background1" w:themeFillShade="D9"/>
          </w:tcPr>
          <w:p w:rsidR="009352F7" w:rsidRPr="009352F7" w:rsidRDefault="009352F7" w:rsidP="009352F7">
            <w:pPr>
              <w:tabs>
                <w:tab w:val="left" w:pos="1741"/>
              </w:tabs>
              <w:rPr>
                <w:rFonts w:cs="Arial"/>
                <w:sz w:val="20"/>
                <w:szCs w:val="20"/>
              </w:rPr>
            </w:pPr>
            <w:r w:rsidRPr="009352F7">
              <w:rPr>
                <w:rFonts w:cs="Arial"/>
                <w:b/>
                <w:sz w:val="20"/>
                <w:szCs w:val="20"/>
              </w:rPr>
              <w:t>DLHE and Employability</w:t>
            </w:r>
          </w:p>
        </w:tc>
      </w:tr>
      <w:tr w:rsidR="009352F7" w:rsidRPr="009352F7" w:rsidTr="005F5E9A">
        <w:tblPrEx>
          <w:jc w:val="left"/>
        </w:tblPrEx>
        <w:tc>
          <w:tcPr>
            <w:tcW w:w="9016" w:type="dxa"/>
            <w:gridSpan w:val="2"/>
          </w:tcPr>
          <w:p w:rsidR="009352F7" w:rsidRPr="009352F7" w:rsidRDefault="009352F7" w:rsidP="003C178A">
            <w:pPr>
              <w:pStyle w:val="ListParagraph"/>
              <w:numPr>
                <w:ilvl w:val="0"/>
                <w:numId w:val="5"/>
              </w:numPr>
              <w:tabs>
                <w:tab w:val="left" w:pos="1741"/>
              </w:tabs>
              <w:rPr>
                <w:rFonts w:cs="Arial"/>
                <w:b/>
                <w:sz w:val="20"/>
                <w:szCs w:val="20"/>
              </w:rPr>
            </w:pPr>
            <w:r w:rsidRPr="009352F7">
              <w:rPr>
                <w:rFonts w:cs="Arial"/>
                <w:sz w:val="20"/>
                <w:szCs w:val="20"/>
              </w:rPr>
              <w:t>A commentary on the most recent DLHE results</w:t>
            </w:r>
          </w:p>
          <w:p w:rsidR="009352F7" w:rsidRPr="009352F7" w:rsidRDefault="009352F7" w:rsidP="003C178A">
            <w:pPr>
              <w:pStyle w:val="ListParagraph"/>
              <w:numPr>
                <w:ilvl w:val="0"/>
                <w:numId w:val="5"/>
              </w:numPr>
              <w:tabs>
                <w:tab w:val="left" w:pos="1741"/>
              </w:tabs>
              <w:rPr>
                <w:rFonts w:cs="Arial"/>
                <w:b/>
                <w:sz w:val="20"/>
                <w:szCs w:val="20"/>
              </w:rPr>
            </w:pPr>
            <w:r w:rsidRPr="009352F7">
              <w:rPr>
                <w:rFonts w:cs="Arial"/>
                <w:sz w:val="20"/>
                <w:szCs w:val="20"/>
              </w:rPr>
              <w:t>Comments on curricula and extra-curricular activities to enhance the employability of graduates</w:t>
            </w:r>
          </w:p>
        </w:tc>
      </w:tr>
    </w:tbl>
    <w:p w:rsidR="009352F7" w:rsidRPr="009352F7" w:rsidRDefault="009352F7">
      <w:pPr>
        <w:rPr>
          <w:rFonts w:cs="Arial"/>
          <w:b/>
          <w:sz w:val="20"/>
          <w:szCs w:val="20"/>
        </w:rPr>
      </w:pPr>
    </w:p>
    <w:p w:rsidR="00367C5D" w:rsidRPr="009352F7" w:rsidRDefault="00367C5D">
      <w:pPr>
        <w:rPr>
          <w:rFonts w:cs="Arial"/>
          <w:sz w:val="20"/>
          <w:szCs w:val="20"/>
        </w:rPr>
      </w:pPr>
    </w:p>
    <w:sectPr w:rsidR="00367C5D" w:rsidRPr="009352F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08" w:rsidRDefault="00A53008" w:rsidP="00A53008">
      <w:r>
        <w:separator/>
      </w:r>
    </w:p>
  </w:endnote>
  <w:endnote w:type="continuationSeparator" w:id="0">
    <w:p w:rsidR="00A53008" w:rsidRDefault="00A53008" w:rsidP="00A5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153625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A53008" w:rsidRPr="00A53008" w:rsidRDefault="00A53008">
            <w:pPr>
              <w:pStyle w:val="Footer"/>
              <w:jc w:val="right"/>
              <w:rPr>
                <w:sz w:val="18"/>
                <w:szCs w:val="18"/>
              </w:rPr>
            </w:pPr>
            <w:r w:rsidRPr="00A53008">
              <w:rPr>
                <w:sz w:val="18"/>
                <w:szCs w:val="18"/>
              </w:rPr>
              <w:t xml:space="preserve">Page </w:t>
            </w:r>
            <w:r w:rsidRPr="00A53008">
              <w:rPr>
                <w:b/>
                <w:bCs/>
                <w:sz w:val="18"/>
                <w:szCs w:val="18"/>
              </w:rPr>
              <w:fldChar w:fldCharType="begin"/>
            </w:r>
            <w:r w:rsidRPr="00A53008">
              <w:rPr>
                <w:b/>
                <w:bCs/>
                <w:sz w:val="18"/>
                <w:szCs w:val="18"/>
              </w:rPr>
              <w:instrText xml:space="preserve"> PAGE </w:instrText>
            </w:r>
            <w:r w:rsidRPr="00A53008">
              <w:rPr>
                <w:b/>
                <w:bCs/>
                <w:sz w:val="18"/>
                <w:szCs w:val="18"/>
              </w:rPr>
              <w:fldChar w:fldCharType="separate"/>
            </w:r>
            <w:r w:rsidR="00EC0BB6">
              <w:rPr>
                <w:b/>
                <w:bCs/>
                <w:noProof/>
                <w:sz w:val="18"/>
                <w:szCs w:val="18"/>
              </w:rPr>
              <w:t>3</w:t>
            </w:r>
            <w:r w:rsidRPr="00A53008">
              <w:rPr>
                <w:b/>
                <w:bCs/>
                <w:sz w:val="18"/>
                <w:szCs w:val="18"/>
              </w:rPr>
              <w:fldChar w:fldCharType="end"/>
            </w:r>
            <w:r w:rsidRPr="00A53008">
              <w:rPr>
                <w:sz w:val="18"/>
                <w:szCs w:val="18"/>
              </w:rPr>
              <w:t xml:space="preserve"> of </w:t>
            </w:r>
            <w:r w:rsidRPr="00A53008">
              <w:rPr>
                <w:b/>
                <w:bCs/>
                <w:sz w:val="18"/>
                <w:szCs w:val="18"/>
              </w:rPr>
              <w:fldChar w:fldCharType="begin"/>
            </w:r>
            <w:r w:rsidRPr="00A53008">
              <w:rPr>
                <w:b/>
                <w:bCs/>
                <w:sz w:val="18"/>
                <w:szCs w:val="18"/>
              </w:rPr>
              <w:instrText xml:space="preserve"> NUMPAGES  </w:instrText>
            </w:r>
            <w:r w:rsidRPr="00A53008">
              <w:rPr>
                <w:b/>
                <w:bCs/>
                <w:sz w:val="18"/>
                <w:szCs w:val="18"/>
              </w:rPr>
              <w:fldChar w:fldCharType="separate"/>
            </w:r>
            <w:r w:rsidR="00EC0BB6">
              <w:rPr>
                <w:b/>
                <w:bCs/>
                <w:noProof/>
                <w:sz w:val="18"/>
                <w:szCs w:val="18"/>
              </w:rPr>
              <w:t>3</w:t>
            </w:r>
            <w:r w:rsidRPr="00A53008">
              <w:rPr>
                <w:b/>
                <w:bCs/>
                <w:sz w:val="18"/>
                <w:szCs w:val="18"/>
              </w:rPr>
              <w:fldChar w:fldCharType="end"/>
            </w:r>
          </w:p>
        </w:sdtContent>
      </w:sdt>
    </w:sdtContent>
  </w:sdt>
  <w:p w:rsidR="00A53008" w:rsidRDefault="00A53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08" w:rsidRDefault="00A53008" w:rsidP="00A53008">
      <w:r>
        <w:separator/>
      </w:r>
    </w:p>
  </w:footnote>
  <w:footnote w:type="continuationSeparator" w:id="0">
    <w:p w:rsidR="00A53008" w:rsidRDefault="00A53008" w:rsidP="00A5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48C"/>
    <w:multiLevelType w:val="hybridMultilevel"/>
    <w:tmpl w:val="8ED4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F5689"/>
    <w:multiLevelType w:val="hybridMultilevel"/>
    <w:tmpl w:val="FC724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22F83"/>
    <w:multiLevelType w:val="hybridMultilevel"/>
    <w:tmpl w:val="E8E06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844A46"/>
    <w:multiLevelType w:val="hybridMultilevel"/>
    <w:tmpl w:val="57F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B7DAD"/>
    <w:multiLevelType w:val="hybridMultilevel"/>
    <w:tmpl w:val="5604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F01652"/>
    <w:multiLevelType w:val="hybridMultilevel"/>
    <w:tmpl w:val="0D48B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D3654E"/>
    <w:multiLevelType w:val="hybridMultilevel"/>
    <w:tmpl w:val="D7403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FB104C"/>
    <w:multiLevelType w:val="hybridMultilevel"/>
    <w:tmpl w:val="A8BE3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7E0042"/>
    <w:multiLevelType w:val="hybridMultilevel"/>
    <w:tmpl w:val="2ED04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CA3F68"/>
    <w:multiLevelType w:val="hybridMultilevel"/>
    <w:tmpl w:val="582E4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6C173B"/>
    <w:multiLevelType w:val="hybridMultilevel"/>
    <w:tmpl w:val="E8EE8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0"/>
  </w:num>
  <w:num w:numId="6">
    <w:abstractNumId w:val="10"/>
  </w:num>
  <w:num w:numId="7">
    <w:abstractNumId w:val="6"/>
  </w:num>
  <w:num w:numId="8">
    <w:abstractNumId w:val="4"/>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AA"/>
    <w:rsid w:val="000020E3"/>
    <w:rsid w:val="001718AA"/>
    <w:rsid w:val="00215075"/>
    <w:rsid w:val="0025607C"/>
    <w:rsid w:val="00367C5D"/>
    <w:rsid w:val="00522EF4"/>
    <w:rsid w:val="005A153B"/>
    <w:rsid w:val="008C5B62"/>
    <w:rsid w:val="009352F7"/>
    <w:rsid w:val="00A53008"/>
    <w:rsid w:val="00AB4B00"/>
    <w:rsid w:val="00BE6049"/>
    <w:rsid w:val="00EC0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5E8C"/>
  <w15:chartTrackingRefBased/>
  <w15:docId w15:val="{91972FE2-C0CE-46DE-B530-C505D647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EF4"/>
    <w:pPr>
      <w:ind w:left="720"/>
      <w:contextualSpacing/>
    </w:pPr>
  </w:style>
  <w:style w:type="paragraph" w:styleId="Header">
    <w:name w:val="header"/>
    <w:basedOn w:val="Normal"/>
    <w:link w:val="HeaderChar"/>
    <w:uiPriority w:val="99"/>
    <w:unhideWhenUsed/>
    <w:rsid w:val="00A53008"/>
    <w:pPr>
      <w:tabs>
        <w:tab w:val="center" w:pos="4513"/>
        <w:tab w:val="right" w:pos="9026"/>
      </w:tabs>
    </w:pPr>
  </w:style>
  <w:style w:type="character" w:customStyle="1" w:styleId="HeaderChar">
    <w:name w:val="Header Char"/>
    <w:basedOn w:val="DefaultParagraphFont"/>
    <w:link w:val="Header"/>
    <w:uiPriority w:val="99"/>
    <w:rsid w:val="00A53008"/>
  </w:style>
  <w:style w:type="paragraph" w:styleId="Footer">
    <w:name w:val="footer"/>
    <w:basedOn w:val="Normal"/>
    <w:link w:val="FooterChar"/>
    <w:uiPriority w:val="99"/>
    <w:unhideWhenUsed/>
    <w:rsid w:val="00A53008"/>
    <w:pPr>
      <w:tabs>
        <w:tab w:val="center" w:pos="4513"/>
        <w:tab w:val="right" w:pos="9026"/>
      </w:tabs>
    </w:pPr>
  </w:style>
  <w:style w:type="character" w:customStyle="1" w:styleId="FooterChar">
    <w:name w:val="Footer Char"/>
    <w:basedOn w:val="DefaultParagraphFont"/>
    <w:link w:val="Footer"/>
    <w:uiPriority w:val="99"/>
    <w:rsid w:val="00A5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D6FB784B</Template>
  <TotalTime>485</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Cooper</dc:creator>
  <cp:keywords/>
  <dc:description/>
  <cp:lastModifiedBy>Denise Cooper</cp:lastModifiedBy>
  <cp:revision>4</cp:revision>
  <dcterms:created xsi:type="dcterms:W3CDTF">2019-09-09T08:03:00Z</dcterms:created>
  <dcterms:modified xsi:type="dcterms:W3CDTF">2019-09-26T09:21:00Z</dcterms:modified>
</cp:coreProperties>
</file>