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5D0" w:rsidRDefault="008B5E1C" w:rsidP="008B5E1C">
      <w:pPr>
        <w:jc w:val="center"/>
        <w:rPr>
          <w:b/>
        </w:rPr>
      </w:pPr>
      <w:r>
        <w:rPr>
          <w:noProof/>
          <w:lang w:eastAsia="en-GB"/>
        </w:rPr>
        <w:drawing>
          <wp:inline distT="0" distB="0" distL="0" distR="0" wp14:anchorId="194490DE" wp14:editId="76765B87">
            <wp:extent cx="777240" cy="682625"/>
            <wp:effectExtent l="0" t="0" r="3810" b="317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240" cy="682625"/>
                    </a:xfrm>
                    <a:prstGeom prst="rect">
                      <a:avLst/>
                    </a:prstGeom>
                  </pic:spPr>
                </pic:pic>
              </a:graphicData>
            </a:graphic>
          </wp:inline>
        </w:drawing>
      </w:r>
    </w:p>
    <w:p w:rsidR="008B5E1C" w:rsidRDefault="008B5E1C">
      <w:pPr>
        <w:rPr>
          <w:b/>
        </w:rPr>
      </w:pPr>
    </w:p>
    <w:p w:rsidR="008B5E1C" w:rsidRDefault="008B5E1C">
      <w:pPr>
        <w:rPr>
          <w:b/>
        </w:rPr>
      </w:pPr>
    </w:p>
    <w:p w:rsidR="008B5E1C" w:rsidRDefault="008B5E1C">
      <w:pPr>
        <w:rPr>
          <w:b/>
          <w:sz w:val="52"/>
          <w:szCs w:val="52"/>
        </w:rPr>
      </w:pPr>
    </w:p>
    <w:p w:rsidR="008B5E1C" w:rsidRDefault="008B5E1C">
      <w:pPr>
        <w:rPr>
          <w:b/>
          <w:sz w:val="52"/>
          <w:szCs w:val="52"/>
        </w:rPr>
      </w:pPr>
    </w:p>
    <w:p w:rsidR="008B5E1C" w:rsidRDefault="008B5E1C">
      <w:pPr>
        <w:rPr>
          <w:b/>
          <w:sz w:val="52"/>
          <w:szCs w:val="52"/>
        </w:rPr>
      </w:pPr>
    </w:p>
    <w:p w:rsidR="008B5E1C" w:rsidRDefault="008B5E1C">
      <w:pPr>
        <w:rPr>
          <w:b/>
          <w:sz w:val="52"/>
          <w:szCs w:val="52"/>
        </w:rPr>
      </w:pPr>
    </w:p>
    <w:p w:rsidR="008B5E1C" w:rsidRDefault="008B5E1C">
      <w:pPr>
        <w:rPr>
          <w:b/>
          <w:sz w:val="52"/>
          <w:szCs w:val="52"/>
        </w:rPr>
      </w:pPr>
    </w:p>
    <w:p w:rsidR="008B5E1C" w:rsidRDefault="008B5E1C">
      <w:pPr>
        <w:rPr>
          <w:b/>
          <w:sz w:val="52"/>
          <w:szCs w:val="52"/>
        </w:rPr>
      </w:pPr>
    </w:p>
    <w:p w:rsidR="000D25D0" w:rsidRDefault="008B5E1C" w:rsidP="008B5E1C">
      <w:pPr>
        <w:jc w:val="center"/>
        <w:rPr>
          <w:b/>
          <w:sz w:val="52"/>
          <w:szCs w:val="52"/>
        </w:rPr>
      </w:pPr>
      <w:r>
        <w:rPr>
          <w:b/>
          <w:sz w:val="52"/>
          <w:szCs w:val="52"/>
        </w:rPr>
        <w:t>Annual Course R</w:t>
      </w:r>
      <w:r w:rsidR="007F429F">
        <w:rPr>
          <w:b/>
          <w:sz w:val="52"/>
          <w:szCs w:val="52"/>
        </w:rPr>
        <w:t>eview H</w:t>
      </w:r>
      <w:r w:rsidR="000D25D0" w:rsidRPr="008B5E1C">
        <w:rPr>
          <w:b/>
          <w:sz w:val="52"/>
          <w:szCs w:val="52"/>
        </w:rPr>
        <w:t>andbook</w:t>
      </w:r>
    </w:p>
    <w:p w:rsidR="008B5E1C" w:rsidRDefault="008B5E1C" w:rsidP="008B5E1C">
      <w:pPr>
        <w:jc w:val="center"/>
        <w:rPr>
          <w:b/>
          <w:sz w:val="52"/>
          <w:szCs w:val="52"/>
        </w:rPr>
      </w:pPr>
    </w:p>
    <w:p w:rsidR="008B5E1C" w:rsidRPr="008B5E1C" w:rsidRDefault="008B5E1C" w:rsidP="008B5E1C">
      <w:pPr>
        <w:jc w:val="center"/>
        <w:rPr>
          <w:b/>
          <w:sz w:val="28"/>
          <w:szCs w:val="28"/>
        </w:rPr>
      </w:pPr>
      <w:r>
        <w:rPr>
          <w:b/>
          <w:sz w:val="28"/>
          <w:szCs w:val="28"/>
        </w:rPr>
        <w:t>September 2019</w:t>
      </w:r>
    </w:p>
    <w:p w:rsidR="000D25D0" w:rsidRDefault="000D25D0">
      <w:pPr>
        <w:rPr>
          <w:b/>
        </w:rPr>
      </w:pPr>
    </w:p>
    <w:p w:rsidR="008B5E1C" w:rsidRDefault="000D25D0">
      <w:pPr>
        <w:rPr>
          <w:b/>
        </w:rPr>
      </w:pPr>
      <w:r>
        <w:rPr>
          <w:b/>
        </w:rPr>
        <w:br w:type="page"/>
      </w:r>
    </w:p>
    <w:p w:rsidR="008B5E1C" w:rsidRDefault="008B5E1C">
      <w:pPr>
        <w:rPr>
          <w:b/>
        </w:rPr>
      </w:pPr>
      <w:r>
        <w:rPr>
          <w:b/>
        </w:rPr>
        <w:lastRenderedPageBreak/>
        <w:t>Annual Course Review</w:t>
      </w:r>
    </w:p>
    <w:p w:rsidR="008B5E1C" w:rsidRDefault="008B5E1C">
      <w:pPr>
        <w:rPr>
          <w:b/>
        </w:rPr>
      </w:pPr>
    </w:p>
    <w:p w:rsidR="000D25D0" w:rsidRPr="008B5E1C" w:rsidRDefault="000D25D0">
      <w:pPr>
        <w:rPr>
          <w:b/>
        </w:rPr>
      </w:pPr>
      <w:r w:rsidRPr="008B5E1C">
        <w:rPr>
          <w:b/>
        </w:rPr>
        <w:t>Contents</w:t>
      </w:r>
    </w:p>
    <w:p w:rsidR="000D25D0" w:rsidRDefault="000D25D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224"/>
      </w:tblGrid>
      <w:tr w:rsidR="008B5E1C" w:rsidTr="000C0F5F">
        <w:tc>
          <w:tcPr>
            <w:tcW w:w="7792" w:type="dxa"/>
          </w:tcPr>
          <w:p w:rsidR="008B5E1C" w:rsidRDefault="008B5E1C"/>
        </w:tc>
        <w:tc>
          <w:tcPr>
            <w:tcW w:w="1224" w:type="dxa"/>
          </w:tcPr>
          <w:p w:rsidR="008B5E1C" w:rsidRPr="008B5E1C" w:rsidRDefault="008B5E1C" w:rsidP="008B5E1C">
            <w:pPr>
              <w:jc w:val="right"/>
              <w:rPr>
                <w:b/>
                <w:sz w:val="16"/>
                <w:szCs w:val="16"/>
              </w:rPr>
            </w:pPr>
            <w:r w:rsidRPr="008B5E1C">
              <w:rPr>
                <w:b/>
                <w:sz w:val="16"/>
                <w:szCs w:val="16"/>
              </w:rPr>
              <w:t>Paragraph numbers</w:t>
            </w:r>
          </w:p>
        </w:tc>
      </w:tr>
      <w:tr w:rsidR="008B5E1C" w:rsidTr="000C0F5F">
        <w:tc>
          <w:tcPr>
            <w:tcW w:w="7792" w:type="dxa"/>
          </w:tcPr>
          <w:p w:rsidR="008B5E1C" w:rsidRDefault="008B5E1C">
            <w:r>
              <w:t>Abbreviations in this handbook</w:t>
            </w:r>
          </w:p>
        </w:tc>
        <w:tc>
          <w:tcPr>
            <w:tcW w:w="1224" w:type="dxa"/>
          </w:tcPr>
          <w:p w:rsidR="008B5E1C" w:rsidRDefault="008B5E1C" w:rsidP="008B5E1C">
            <w:pPr>
              <w:jc w:val="right"/>
            </w:pPr>
          </w:p>
        </w:tc>
      </w:tr>
      <w:tr w:rsidR="008B5E1C" w:rsidTr="000C0F5F">
        <w:tc>
          <w:tcPr>
            <w:tcW w:w="7792" w:type="dxa"/>
          </w:tcPr>
          <w:p w:rsidR="008B5E1C" w:rsidRDefault="008B5E1C">
            <w:r>
              <w:t>Introduction</w:t>
            </w:r>
          </w:p>
        </w:tc>
        <w:tc>
          <w:tcPr>
            <w:tcW w:w="1224" w:type="dxa"/>
          </w:tcPr>
          <w:p w:rsidR="008B5E1C" w:rsidRDefault="000C0F5F" w:rsidP="008B5E1C">
            <w:pPr>
              <w:jc w:val="right"/>
            </w:pPr>
            <w:r>
              <w:t>1-2</w:t>
            </w:r>
          </w:p>
        </w:tc>
      </w:tr>
      <w:tr w:rsidR="008B5E1C" w:rsidTr="000C0F5F">
        <w:tc>
          <w:tcPr>
            <w:tcW w:w="7792" w:type="dxa"/>
          </w:tcPr>
          <w:p w:rsidR="008B5E1C" w:rsidRDefault="008B5E1C">
            <w:r>
              <w:t>Definitions</w:t>
            </w:r>
          </w:p>
        </w:tc>
        <w:tc>
          <w:tcPr>
            <w:tcW w:w="1224" w:type="dxa"/>
          </w:tcPr>
          <w:p w:rsidR="008B5E1C" w:rsidRDefault="000C0F5F" w:rsidP="008B5E1C">
            <w:pPr>
              <w:jc w:val="right"/>
            </w:pPr>
            <w:r>
              <w:t>3-6</w:t>
            </w:r>
          </w:p>
        </w:tc>
      </w:tr>
      <w:tr w:rsidR="008B5E1C" w:rsidTr="000C0F5F">
        <w:tc>
          <w:tcPr>
            <w:tcW w:w="7792" w:type="dxa"/>
          </w:tcPr>
          <w:p w:rsidR="008B5E1C" w:rsidRDefault="008B5E1C" w:rsidP="008B5E1C">
            <w:r>
              <w:t>The aims of Annual Course Review</w:t>
            </w:r>
            <w:r w:rsidR="000C0F5F">
              <w:t xml:space="preserve"> (ACR)</w:t>
            </w:r>
          </w:p>
        </w:tc>
        <w:tc>
          <w:tcPr>
            <w:tcW w:w="1224" w:type="dxa"/>
          </w:tcPr>
          <w:p w:rsidR="008B5E1C" w:rsidRDefault="000C0F5F" w:rsidP="008B5E1C">
            <w:pPr>
              <w:jc w:val="right"/>
            </w:pPr>
            <w:r>
              <w:t>7</w:t>
            </w:r>
          </w:p>
        </w:tc>
      </w:tr>
      <w:tr w:rsidR="008B5E1C" w:rsidTr="000C0F5F">
        <w:tc>
          <w:tcPr>
            <w:tcW w:w="7792" w:type="dxa"/>
          </w:tcPr>
          <w:p w:rsidR="008B5E1C" w:rsidRDefault="008B5E1C">
            <w:r>
              <w:t>Responsibilities in the ACR process</w:t>
            </w:r>
          </w:p>
        </w:tc>
        <w:tc>
          <w:tcPr>
            <w:tcW w:w="1224" w:type="dxa"/>
          </w:tcPr>
          <w:p w:rsidR="008B5E1C" w:rsidRDefault="000C0F5F" w:rsidP="008B5E1C">
            <w:pPr>
              <w:jc w:val="right"/>
            </w:pPr>
            <w:r>
              <w:t>8-12</w:t>
            </w:r>
          </w:p>
        </w:tc>
      </w:tr>
      <w:tr w:rsidR="008B5E1C" w:rsidTr="000C0F5F">
        <w:tc>
          <w:tcPr>
            <w:tcW w:w="7792" w:type="dxa"/>
          </w:tcPr>
          <w:p w:rsidR="008B5E1C" w:rsidRDefault="008B5E1C">
            <w:r>
              <w:t>The use of evidence to support ACR</w:t>
            </w:r>
          </w:p>
        </w:tc>
        <w:tc>
          <w:tcPr>
            <w:tcW w:w="1224" w:type="dxa"/>
          </w:tcPr>
          <w:p w:rsidR="008B5E1C" w:rsidRDefault="000C0F5F" w:rsidP="008B5E1C">
            <w:pPr>
              <w:jc w:val="right"/>
            </w:pPr>
            <w:r>
              <w:t>13</w:t>
            </w:r>
          </w:p>
        </w:tc>
      </w:tr>
      <w:tr w:rsidR="008B5E1C" w:rsidTr="000C0F5F">
        <w:tc>
          <w:tcPr>
            <w:tcW w:w="7792" w:type="dxa"/>
          </w:tcPr>
          <w:p w:rsidR="008B5E1C" w:rsidRDefault="008B5E1C">
            <w:r>
              <w:t>Stages in the ACR</w:t>
            </w:r>
          </w:p>
        </w:tc>
        <w:tc>
          <w:tcPr>
            <w:tcW w:w="1224" w:type="dxa"/>
          </w:tcPr>
          <w:p w:rsidR="008B5E1C" w:rsidRDefault="000C0F5F" w:rsidP="008B5E1C">
            <w:pPr>
              <w:jc w:val="right"/>
            </w:pPr>
            <w:r>
              <w:t>14</w:t>
            </w:r>
          </w:p>
        </w:tc>
      </w:tr>
      <w:tr w:rsidR="008B5E1C" w:rsidTr="000C0F5F">
        <w:tc>
          <w:tcPr>
            <w:tcW w:w="7792" w:type="dxa"/>
          </w:tcPr>
          <w:p w:rsidR="008B5E1C" w:rsidRDefault="008B5E1C">
            <w:r>
              <w:t>Completing the ACR</w:t>
            </w:r>
          </w:p>
        </w:tc>
        <w:tc>
          <w:tcPr>
            <w:tcW w:w="1224" w:type="dxa"/>
          </w:tcPr>
          <w:p w:rsidR="008B5E1C" w:rsidRDefault="000C0F5F" w:rsidP="008B5E1C">
            <w:pPr>
              <w:jc w:val="right"/>
            </w:pPr>
            <w:r>
              <w:t>15-18</w:t>
            </w:r>
          </w:p>
        </w:tc>
      </w:tr>
      <w:tr w:rsidR="008B5E1C" w:rsidTr="000C0F5F">
        <w:tc>
          <w:tcPr>
            <w:tcW w:w="7792" w:type="dxa"/>
          </w:tcPr>
          <w:p w:rsidR="008B5E1C" w:rsidRDefault="008B5E1C">
            <w:r>
              <w:t>Completing the School level summary report</w:t>
            </w:r>
          </w:p>
        </w:tc>
        <w:tc>
          <w:tcPr>
            <w:tcW w:w="1224" w:type="dxa"/>
          </w:tcPr>
          <w:p w:rsidR="008B5E1C" w:rsidRDefault="000C0F5F" w:rsidP="008B5E1C">
            <w:pPr>
              <w:jc w:val="right"/>
            </w:pPr>
            <w:r>
              <w:t>19-21</w:t>
            </w:r>
          </w:p>
        </w:tc>
      </w:tr>
      <w:tr w:rsidR="008B5E1C" w:rsidTr="000C0F5F">
        <w:tc>
          <w:tcPr>
            <w:tcW w:w="7792" w:type="dxa"/>
          </w:tcPr>
          <w:p w:rsidR="008B5E1C" w:rsidRDefault="008B5E1C">
            <w:r>
              <w:t>The Annual Enhancement Event</w:t>
            </w:r>
          </w:p>
        </w:tc>
        <w:tc>
          <w:tcPr>
            <w:tcW w:w="1224" w:type="dxa"/>
          </w:tcPr>
          <w:p w:rsidR="008B5E1C" w:rsidRDefault="000C0F5F" w:rsidP="008B5E1C">
            <w:pPr>
              <w:jc w:val="right"/>
            </w:pPr>
            <w:r>
              <w:t>22-25</w:t>
            </w:r>
          </w:p>
        </w:tc>
      </w:tr>
      <w:tr w:rsidR="008B5E1C" w:rsidTr="000C0F5F">
        <w:tc>
          <w:tcPr>
            <w:tcW w:w="7792" w:type="dxa"/>
          </w:tcPr>
          <w:p w:rsidR="008B5E1C" w:rsidRDefault="008B5E1C">
            <w:r>
              <w:t>Institutional Oversight</w:t>
            </w:r>
          </w:p>
        </w:tc>
        <w:tc>
          <w:tcPr>
            <w:tcW w:w="1224" w:type="dxa"/>
          </w:tcPr>
          <w:p w:rsidR="008B5E1C" w:rsidRDefault="000C0F5F" w:rsidP="008B5E1C">
            <w:pPr>
              <w:jc w:val="right"/>
            </w:pPr>
            <w:r>
              <w:t>26</w:t>
            </w:r>
          </w:p>
        </w:tc>
      </w:tr>
      <w:tr w:rsidR="008B5E1C" w:rsidTr="000C0F5F">
        <w:tc>
          <w:tcPr>
            <w:tcW w:w="7792" w:type="dxa"/>
          </w:tcPr>
          <w:p w:rsidR="008B5E1C" w:rsidRDefault="008B5E1C">
            <w:r>
              <w:t>Compliance with QAA’s UK Quality Code</w:t>
            </w:r>
          </w:p>
        </w:tc>
        <w:tc>
          <w:tcPr>
            <w:tcW w:w="1224" w:type="dxa"/>
          </w:tcPr>
          <w:p w:rsidR="008B5E1C" w:rsidRDefault="000C0F5F" w:rsidP="008B5E1C">
            <w:pPr>
              <w:jc w:val="right"/>
            </w:pPr>
            <w:r>
              <w:t>27</w:t>
            </w:r>
          </w:p>
        </w:tc>
      </w:tr>
    </w:tbl>
    <w:p w:rsidR="008B5E1C" w:rsidRDefault="008B5E1C"/>
    <w:p w:rsidR="000D25D0" w:rsidRDefault="000D25D0" w:rsidP="000D25D0">
      <w:pPr>
        <w:pStyle w:val="ListParagraph"/>
      </w:pPr>
    </w:p>
    <w:p w:rsidR="008B5E1C" w:rsidRPr="008B5E1C" w:rsidRDefault="0097335E" w:rsidP="008B5E1C">
      <w:pPr>
        <w:rPr>
          <w:b/>
        </w:rPr>
      </w:pPr>
      <w:r>
        <w:rPr>
          <w:b/>
        </w:rPr>
        <w:t>Templates</w:t>
      </w:r>
    </w:p>
    <w:p w:rsidR="008B5E1C" w:rsidRDefault="008B5E1C" w:rsidP="000D25D0"/>
    <w:p w:rsidR="000D25D0" w:rsidRDefault="0097335E" w:rsidP="000D25D0">
      <w:r>
        <w:t>Appendix 1</w:t>
      </w:r>
      <w:r>
        <w:tab/>
        <w:t>Annual Course Review</w:t>
      </w:r>
    </w:p>
    <w:p w:rsidR="0097335E" w:rsidRDefault="0097335E" w:rsidP="000D25D0">
      <w:r>
        <w:t>Appendix 2</w:t>
      </w:r>
      <w:r>
        <w:tab/>
        <w:t>School Summary Report</w:t>
      </w:r>
    </w:p>
    <w:p w:rsidR="0097335E" w:rsidRDefault="0097335E" w:rsidP="000D25D0"/>
    <w:p w:rsidR="0097335E" w:rsidRDefault="0097335E" w:rsidP="000D25D0"/>
    <w:p w:rsidR="0097335E" w:rsidRDefault="0097335E" w:rsidP="000D25D0">
      <w:pPr>
        <w:rPr>
          <w:b/>
        </w:rPr>
      </w:pPr>
      <w:r>
        <w:rPr>
          <w:b/>
        </w:rPr>
        <w:t>Abbreviations in this handbook</w:t>
      </w:r>
    </w:p>
    <w:p w:rsidR="0097335E" w:rsidRDefault="0097335E" w:rsidP="000D25D0">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03"/>
      </w:tblGrid>
      <w:tr w:rsidR="0097335E" w:rsidRPr="0097335E" w:rsidTr="00A815F1">
        <w:tc>
          <w:tcPr>
            <w:tcW w:w="1413" w:type="dxa"/>
          </w:tcPr>
          <w:p w:rsidR="0097335E" w:rsidRPr="0097335E" w:rsidRDefault="0097335E" w:rsidP="000D25D0">
            <w:r w:rsidRPr="0097335E">
              <w:t>ACR</w:t>
            </w:r>
          </w:p>
        </w:tc>
        <w:tc>
          <w:tcPr>
            <w:tcW w:w="7603" w:type="dxa"/>
          </w:tcPr>
          <w:p w:rsidR="0097335E" w:rsidRDefault="0097335E" w:rsidP="000D25D0">
            <w:r w:rsidRPr="0097335E">
              <w:t>Annual Course review</w:t>
            </w:r>
          </w:p>
          <w:p w:rsidR="0097335E" w:rsidRPr="0097335E" w:rsidRDefault="0097335E" w:rsidP="000D25D0"/>
        </w:tc>
      </w:tr>
      <w:tr w:rsidR="0097335E" w:rsidRPr="0097335E" w:rsidTr="00A815F1">
        <w:tc>
          <w:tcPr>
            <w:tcW w:w="1413" w:type="dxa"/>
          </w:tcPr>
          <w:p w:rsidR="0097335E" w:rsidRPr="0097335E" w:rsidRDefault="0097335E" w:rsidP="000D25D0">
            <w:r>
              <w:t>ADQE</w:t>
            </w:r>
          </w:p>
        </w:tc>
        <w:tc>
          <w:tcPr>
            <w:tcW w:w="7603" w:type="dxa"/>
          </w:tcPr>
          <w:p w:rsidR="0097335E" w:rsidRDefault="0097335E" w:rsidP="000D25D0">
            <w:r>
              <w:t>Academic Development and Quality Enhancement</w:t>
            </w:r>
          </w:p>
          <w:p w:rsidR="0097335E" w:rsidRPr="0097335E" w:rsidRDefault="0097335E" w:rsidP="000D25D0"/>
        </w:tc>
      </w:tr>
      <w:tr w:rsidR="0097335E" w:rsidRPr="0097335E" w:rsidTr="00A815F1">
        <w:tc>
          <w:tcPr>
            <w:tcW w:w="1413" w:type="dxa"/>
          </w:tcPr>
          <w:p w:rsidR="0097335E" w:rsidRDefault="0097335E" w:rsidP="000D25D0">
            <w:r>
              <w:t>CAO</w:t>
            </w:r>
          </w:p>
        </w:tc>
        <w:tc>
          <w:tcPr>
            <w:tcW w:w="7603" w:type="dxa"/>
          </w:tcPr>
          <w:p w:rsidR="0097335E" w:rsidRDefault="0097335E" w:rsidP="000D25D0">
            <w:r>
              <w:t xml:space="preserve">Course </w:t>
            </w:r>
            <w:r w:rsidR="00B61532">
              <w:t>and Assessment</w:t>
            </w:r>
            <w:r>
              <w:t xml:space="preserve"> Officer</w:t>
            </w:r>
          </w:p>
          <w:p w:rsidR="0097335E" w:rsidRDefault="0097335E" w:rsidP="000D25D0"/>
        </w:tc>
      </w:tr>
      <w:tr w:rsidR="0097335E" w:rsidRPr="0097335E" w:rsidTr="00A815F1">
        <w:tc>
          <w:tcPr>
            <w:tcW w:w="1413" w:type="dxa"/>
          </w:tcPr>
          <w:p w:rsidR="0097335E" w:rsidRDefault="0097335E" w:rsidP="000D25D0">
            <w:r>
              <w:t>DLHE</w:t>
            </w:r>
          </w:p>
        </w:tc>
        <w:tc>
          <w:tcPr>
            <w:tcW w:w="7603" w:type="dxa"/>
          </w:tcPr>
          <w:p w:rsidR="0097335E" w:rsidRDefault="0097335E" w:rsidP="000D25D0">
            <w:r>
              <w:t>Destination of Leavers in Higher Education survey</w:t>
            </w:r>
          </w:p>
          <w:p w:rsidR="0097335E" w:rsidRDefault="0097335E" w:rsidP="000D25D0"/>
        </w:tc>
      </w:tr>
      <w:tr w:rsidR="0097335E" w:rsidRPr="0097335E" w:rsidTr="00A815F1">
        <w:tc>
          <w:tcPr>
            <w:tcW w:w="1413" w:type="dxa"/>
          </w:tcPr>
          <w:p w:rsidR="0097335E" w:rsidRPr="0097335E" w:rsidRDefault="0097335E" w:rsidP="000D25D0">
            <w:r>
              <w:t>DTL</w:t>
            </w:r>
          </w:p>
        </w:tc>
        <w:tc>
          <w:tcPr>
            <w:tcW w:w="7603" w:type="dxa"/>
          </w:tcPr>
          <w:p w:rsidR="0097335E" w:rsidRDefault="0097335E" w:rsidP="000D25D0">
            <w:r>
              <w:t>Director of Teaching and Learning</w:t>
            </w:r>
          </w:p>
          <w:p w:rsidR="0097335E" w:rsidRPr="0097335E" w:rsidRDefault="0097335E" w:rsidP="000D25D0"/>
        </w:tc>
      </w:tr>
      <w:tr w:rsidR="0097335E" w:rsidRPr="0097335E" w:rsidTr="00A815F1">
        <w:tc>
          <w:tcPr>
            <w:tcW w:w="1413" w:type="dxa"/>
          </w:tcPr>
          <w:p w:rsidR="0097335E" w:rsidRPr="0097335E" w:rsidRDefault="0097335E" w:rsidP="000D25D0">
            <w:r>
              <w:t>ODL</w:t>
            </w:r>
          </w:p>
        </w:tc>
        <w:tc>
          <w:tcPr>
            <w:tcW w:w="7603" w:type="dxa"/>
          </w:tcPr>
          <w:p w:rsidR="0097335E" w:rsidRDefault="0097335E" w:rsidP="000D25D0">
            <w:r>
              <w:t>On-line Distance Learning</w:t>
            </w:r>
          </w:p>
          <w:p w:rsidR="0097335E" w:rsidRPr="0097335E" w:rsidRDefault="0097335E" w:rsidP="000D25D0"/>
        </w:tc>
      </w:tr>
      <w:tr w:rsidR="0097335E" w:rsidRPr="0097335E" w:rsidTr="00A815F1">
        <w:tc>
          <w:tcPr>
            <w:tcW w:w="1413" w:type="dxa"/>
          </w:tcPr>
          <w:p w:rsidR="0097335E" w:rsidRDefault="0097335E" w:rsidP="000D25D0">
            <w:r>
              <w:t>QAA</w:t>
            </w:r>
          </w:p>
        </w:tc>
        <w:tc>
          <w:tcPr>
            <w:tcW w:w="7603" w:type="dxa"/>
          </w:tcPr>
          <w:p w:rsidR="0097335E" w:rsidRDefault="0097335E" w:rsidP="000D25D0">
            <w:r>
              <w:t>Quality Assurance Agency</w:t>
            </w:r>
          </w:p>
          <w:p w:rsidR="0097335E" w:rsidRDefault="0097335E" w:rsidP="000D25D0"/>
        </w:tc>
      </w:tr>
      <w:tr w:rsidR="0097335E" w:rsidRPr="0097335E" w:rsidTr="00A815F1">
        <w:tc>
          <w:tcPr>
            <w:tcW w:w="1413" w:type="dxa"/>
          </w:tcPr>
          <w:p w:rsidR="0097335E" w:rsidRPr="0097335E" w:rsidRDefault="0097335E" w:rsidP="000D25D0">
            <w:r>
              <w:t>STLC</w:t>
            </w:r>
          </w:p>
        </w:tc>
        <w:tc>
          <w:tcPr>
            <w:tcW w:w="7603" w:type="dxa"/>
          </w:tcPr>
          <w:p w:rsidR="0097335E" w:rsidRDefault="0097335E" w:rsidP="000D25D0">
            <w:r>
              <w:t>School Teaching and Learning Committee</w:t>
            </w:r>
          </w:p>
          <w:p w:rsidR="0097335E" w:rsidRPr="0097335E" w:rsidRDefault="0097335E" w:rsidP="000D25D0"/>
        </w:tc>
      </w:tr>
      <w:tr w:rsidR="0097335E" w:rsidRPr="0097335E" w:rsidTr="00A815F1">
        <w:tc>
          <w:tcPr>
            <w:tcW w:w="1413" w:type="dxa"/>
          </w:tcPr>
          <w:p w:rsidR="0097335E" w:rsidRPr="0097335E" w:rsidRDefault="0097335E" w:rsidP="000D25D0">
            <w:r>
              <w:t>UEC</w:t>
            </w:r>
          </w:p>
        </w:tc>
        <w:tc>
          <w:tcPr>
            <w:tcW w:w="7603" w:type="dxa"/>
          </w:tcPr>
          <w:p w:rsidR="0097335E" w:rsidRDefault="0097335E" w:rsidP="000D25D0">
            <w:r>
              <w:t>University Education Committee</w:t>
            </w:r>
          </w:p>
          <w:p w:rsidR="0097335E" w:rsidRPr="0097335E" w:rsidRDefault="0097335E" w:rsidP="000D25D0"/>
        </w:tc>
      </w:tr>
    </w:tbl>
    <w:p w:rsidR="0097335E" w:rsidRPr="0097335E" w:rsidRDefault="0097335E" w:rsidP="000D25D0">
      <w:pPr>
        <w:rPr>
          <w:b/>
        </w:rPr>
      </w:pPr>
    </w:p>
    <w:p w:rsidR="000D25D0" w:rsidRDefault="000D25D0" w:rsidP="000D25D0"/>
    <w:p w:rsidR="000D25D0" w:rsidRDefault="000D25D0" w:rsidP="000D25D0"/>
    <w:p w:rsidR="000D25D0" w:rsidRDefault="000D25D0" w:rsidP="000D25D0">
      <w:r>
        <w:br w:type="page"/>
      </w:r>
    </w:p>
    <w:p w:rsidR="007B36FE" w:rsidRDefault="000D25D0">
      <w:pPr>
        <w:rPr>
          <w:b/>
        </w:rPr>
      </w:pPr>
      <w:r>
        <w:rPr>
          <w:b/>
        </w:rPr>
        <w:lastRenderedPageBreak/>
        <w:t xml:space="preserve">Annual Course Review </w:t>
      </w:r>
      <w:r w:rsidR="004B5BFE">
        <w:rPr>
          <w:b/>
        </w:rPr>
        <w:t>(ACR)</w:t>
      </w:r>
    </w:p>
    <w:p w:rsidR="000D25D0" w:rsidRDefault="000D25D0">
      <w:pPr>
        <w:rPr>
          <w:b/>
        </w:rPr>
      </w:pPr>
    </w:p>
    <w:p w:rsidR="004B5BFE" w:rsidRPr="008B5E1C" w:rsidRDefault="004B5BFE" w:rsidP="008B5E1C">
      <w:pPr>
        <w:rPr>
          <w:b/>
        </w:rPr>
      </w:pPr>
      <w:r w:rsidRPr="008B5E1C">
        <w:rPr>
          <w:b/>
        </w:rPr>
        <w:t>Introduction</w:t>
      </w:r>
    </w:p>
    <w:p w:rsidR="004B5BFE" w:rsidRDefault="004B5BFE" w:rsidP="004B5BFE">
      <w:pPr>
        <w:rPr>
          <w:b/>
        </w:rPr>
      </w:pPr>
    </w:p>
    <w:p w:rsidR="004B5BFE" w:rsidRDefault="004B5BFE" w:rsidP="008B5E1C">
      <w:pPr>
        <w:pStyle w:val="ListParagraph"/>
        <w:numPr>
          <w:ilvl w:val="0"/>
          <w:numId w:val="16"/>
        </w:numPr>
      </w:pPr>
      <w:r>
        <w:t>This handbook describes the Annual Course Revi</w:t>
      </w:r>
      <w:r w:rsidR="0097335E">
        <w:t>ew procedures for all taught undergraduate provision and postgraduate taught and on-line distance learning provision.  I</w:t>
      </w:r>
      <w:r>
        <w:t>t includes:</w:t>
      </w:r>
    </w:p>
    <w:p w:rsidR="004B5BFE" w:rsidRDefault="004B5BFE" w:rsidP="004B5BFE"/>
    <w:p w:rsidR="004B5BFE" w:rsidRDefault="004B5BFE" w:rsidP="004B5BFE">
      <w:pPr>
        <w:pStyle w:val="ListParagraph"/>
        <w:numPr>
          <w:ilvl w:val="0"/>
          <w:numId w:val="7"/>
        </w:numPr>
      </w:pPr>
      <w:r>
        <w:t>A definition of Annual Course Review</w:t>
      </w:r>
      <w:r w:rsidR="0097335E">
        <w:t xml:space="preserve"> (ACR)</w:t>
      </w:r>
      <w:r>
        <w:t>;</w:t>
      </w:r>
    </w:p>
    <w:p w:rsidR="004B5BFE" w:rsidRDefault="004B5BFE" w:rsidP="004B5BFE">
      <w:pPr>
        <w:pStyle w:val="ListParagraph"/>
        <w:numPr>
          <w:ilvl w:val="0"/>
          <w:numId w:val="7"/>
        </w:numPr>
      </w:pPr>
      <w:r>
        <w:t>The aims of Annual Course Review</w:t>
      </w:r>
    </w:p>
    <w:p w:rsidR="004B5BFE" w:rsidRDefault="004B5BFE" w:rsidP="004B5BFE">
      <w:pPr>
        <w:pStyle w:val="ListParagraph"/>
        <w:numPr>
          <w:ilvl w:val="0"/>
          <w:numId w:val="7"/>
        </w:numPr>
      </w:pPr>
      <w:r>
        <w:t>Responsibilities in the ACR</w:t>
      </w:r>
    </w:p>
    <w:p w:rsidR="009522AD" w:rsidRDefault="009522AD" w:rsidP="004B5BFE">
      <w:pPr>
        <w:pStyle w:val="ListParagraph"/>
        <w:numPr>
          <w:ilvl w:val="0"/>
          <w:numId w:val="7"/>
        </w:numPr>
      </w:pPr>
      <w:r>
        <w:t>The use of evidence in the ACR</w:t>
      </w:r>
    </w:p>
    <w:p w:rsidR="009522AD" w:rsidRDefault="009522AD" w:rsidP="004B5BFE">
      <w:pPr>
        <w:pStyle w:val="ListParagraph"/>
        <w:numPr>
          <w:ilvl w:val="0"/>
          <w:numId w:val="7"/>
        </w:numPr>
      </w:pPr>
      <w:r>
        <w:t>Stages in the process;</w:t>
      </w:r>
    </w:p>
    <w:p w:rsidR="009522AD" w:rsidRDefault="009522AD" w:rsidP="004B5BFE">
      <w:pPr>
        <w:pStyle w:val="ListParagraph"/>
        <w:numPr>
          <w:ilvl w:val="0"/>
          <w:numId w:val="7"/>
        </w:numPr>
      </w:pPr>
      <w:r>
        <w:t>Reporting arrangements.</w:t>
      </w:r>
    </w:p>
    <w:p w:rsidR="004B5BFE" w:rsidRDefault="004B5BFE" w:rsidP="004B5BFE"/>
    <w:p w:rsidR="004B5BFE" w:rsidRPr="000D25D0" w:rsidRDefault="004B5BFE" w:rsidP="008B5E1C">
      <w:pPr>
        <w:pStyle w:val="ListParagraph"/>
        <w:numPr>
          <w:ilvl w:val="0"/>
          <w:numId w:val="16"/>
        </w:numPr>
      </w:pPr>
      <w:r w:rsidRPr="000D25D0">
        <w:t xml:space="preserve">This handbook </w:t>
      </w:r>
      <w:r w:rsidR="009522AD">
        <w:t>should be</w:t>
      </w:r>
      <w:r w:rsidRPr="000D25D0">
        <w:t xml:space="preserve"> of particular relevance to:</w:t>
      </w:r>
    </w:p>
    <w:p w:rsidR="004B5BFE" w:rsidRPr="000D25D0" w:rsidRDefault="004B5BFE" w:rsidP="004B5BFE"/>
    <w:p w:rsidR="004B5BFE" w:rsidRPr="000D25D0" w:rsidRDefault="004B5BFE" w:rsidP="00D77A05">
      <w:pPr>
        <w:pStyle w:val="ListParagraph"/>
        <w:numPr>
          <w:ilvl w:val="0"/>
          <w:numId w:val="4"/>
        </w:numPr>
        <w:ind w:left="1080"/>
      </w:pPr>
      <w:r w:rsidRPr="000D25D0">
        <w:t>Directors of Teaching and Learning</w:t>
      </w:r>
      <w:r w:rsidR="0097335E">
        <w:t xml:space="preserve"> (DTLs)</w:t>
      </w:r>
    </w:p>
    <w:p w:rsidR="004B5BFE" w:rsidRPr="000D25D0" w:rsidRDefault="004B5BFE" w:rsidP="00D77A05">
      <w:pPr>
        <w:pStyle w:val="ListParagraph"/>
        <w:numPr>
          <w:ilvl w:val="0"/>
          <w:numId w:val="4"/>
        </w:numPr>
        <w:ind w:left="1080"/>
      </w:pPr>
      <w:r w:rsidRPr="000D25D0">
        <w:t>Curriculum and Assessment Officers</w:t>
      </w:r>
    </w:p>
    <w:p w:rsidR="004B5BFE" w:rsidRPr="000D25D0" w:rsidRDefault="004B5BFE" w:rsidP="00D77A05">
      <w:pPr>
        <w:pStyle w:val="ListParagraph"/>
        <w:numPr>
          <w:ilvl w:val="0"/>
          <w:numId w:val="4"/>
        </w:numPr>
        <w:ind w:left="1080"/>
      </w:pPr>
      <w:r w:rsidRPr="000D25D0">
        <w:t>Heads of Department</w:t>
      </w:r>
    </w:p>
    <w:p w:rsidR="004B5BFE" w:rsidRPr="000D25D0" w:rsidRDefault="004B5BFE" w:rsidP="00D77A05">
      <w:pPr>
        <w:pStyle w:val="ListParagraph"/>
        <w:numPr>
          <w:ilvl w:val="0"/>
          <w:numId w:val="4"/>
        </w:numPr>
        <w:ind w:left="1080"/>
      </w:pPr>
      <w:r w:rsidRPr="000D25D0">
        <w:t>Course Convenors</w:t>
      </w:r>
    </w:p>
    <w:p w:rsidR="004B5BFE" w:rsidRPr="000D25D0" w:rsidRDefault="004B5BFE" w:rsidP="00D77A05">
      <w:pPr>
        <w:pStyle w:val="ListParagraph"/>
        <w:numPr>
          <w:ilvl w:val="0"/>
          <w:numId w:val="4"/>
        </w:numPr>
        <w:ind w:left="1080"/>
      </w:pPr>
      <w:r w:rsidRPr="000D25D0">
        <w:t>Module Convenors</w:t>
      </w:r>
    </w:p>
    <w:p w:rsidR="004B5BFE" w:rsidRPr="000D25D0" w:rsidRDefault="004B5BFE" w:rsidP="00D77A05">
      <w:pPr>
        <w:pStyle w:val="ListParagraph"/>
        <w:numPr>
          <w:ilvl w:val="0"/>
          <w:numId w:val="4"/>
        </w:numPr>
        <w:ind w:left="1080"/>
      </w:pPr>
      <w:r w:rsidRPr="000D25D0">
        <w:t>Members of the School Teaching and Learning Committees</w:t>
      </w:r>
      <w:r w:rsidR="0097335E">
        <w:t xml:space="preserve"> (STLC)</w:t>
      </w:r>
    </w:p>
    <w:p w:rsidR="004B5BFE" w:rsidRPr="000D25D0" w:rsidRDefault="004B5BFE" w:rsidP="00D77A05">
      <w:pPr>
        <w:pStyle w:val="ListParagraph"/>
        <w:numPr>
          <w:ilvl w:val="0"/>
          <w:numId w:val="4"/>
        </w:numPr>
        <w:ind w:left="1080"/>
      </w:pPr>
      <w:r w:rsidRPr="000D25D0">
        <w:t>Professional Services staff who support teaching and learning</w:t>
      </w:r>
    </w:p>
    <w:p w:rsidR="004B5BFE" w:rsidRPr="004B5BFE" w:rsidRDefault="004B5BFE" w:rsidP="00D77A05">
      <w:pPr>
        <w:pStyle w:val="ListParagraph"/>
        <w:ind w:left="1395"/>
      </w:pPr>
    </w:p>
    <w:p w:rsidR="000D25D0" w:rsidRPr="008B5E1C" w:rsidRDefault="004B5BFE" w:rsidP="008B5E1C">
      <w:pPr>
        <w:rPr>
          <w:b/>
        </w:rPr>
      </w:pPr>
      <w:r w:rsidRPr="008B5E1C">
        <w:rPr>
          <w:b/>
        </w:rPr>
        <w:t>Definition</w:t>
      </w:r>
      <w:r w:rsidR="008B5E1C">
        <w:rPr>
          <w:b/>
        </w:rPr>
        <w:t>s</w:t>
      </w:r>
    </w:p>
    <w:p w:rsidR="008B5E1C" w:rsidRDefault="008B5E1C" w:rsidP="008B5E1C">
      <w:pPr>
        <w:rPr>
          <w:b/>
        </w:rPr>
      </w:pPr>
    </w:p>
    <w:p w:rsidR="00E341FB" w:rsidRDefault="008B5E1C" w:rsidP="008B5E1C">
      <w:pPr>
        <w:ind w:left="680" w:hanging="680"/>
      </w:pPr>
      <w:r w:rsidRPr="008B5E1C">
        <w:t>3</w:t>
      </w:r>
      <w:r>
        <w:rPr>
          <w:b/>
        </w:rPr>
        <w:t>.</w:t>
      </w:r>
      <w:r>
        <w:rPr>
          <w:b/>
        </w:rPr>
        <w:tab/>
      </w:r>
      <w:r w:rsidR="000D25D0">
        <w:t>The Annual Course Review (ACR) process is a key element of the University’s quality assurance and enhancement framework.  It provides an opportunity for review, reflection and evaluation of the delivery of courses</w:t>
      </w:r>
      <w:r w:rsidR="009522AD">
        <w:t xml:space="preserve"> in achieving their stated aims, and the success of students in attaining the learning outcomes.  ACR is based on the </w:t>
      </w:r>
      <w:proofErr w:type="spellStart"/>
      <w:r w:rsidR="009522AD">
        <w:t>used</w:t>
      </w:r>
      <w:proofErr w:type="spellEnd"/>
      <w:r w:rsidR="009522AD">
        <w:t xml:space="preserve"> of qualitative a</w:t>
      </w:r>
      <w:r w:rsidR="004576C1">
        <w:t xml:space="preserve">nd quantitative evidence and is critical to </w:t>
      </w:r>
      <w:r w:rsidR="000D25D0">
        <w:t>identifying issues, risks and actions for improvement and enhancement.  It also provides an opportunity for identifying and celebrating success, promoting best practice and learning from each other.</w:t>
      </w:r>
      <w:r w:rsidR="004B5BFE">
        <w:t xml:space="preserve">  </w:t>
      </w:r>
      <w:r w:rsidR="009522AD">
        <w:t xml:space="preserve">  </w:t>
      </w:r>
    </w:p>
    <w:p w:rsidR="00E341FB" w:rsidRDefault="00E341FB" w:rsidP="00E341FB">
      <w:pPr>
        <w:pStyle w:val="ListParagraph"/>
        <w:ind w:left="675"/>
      </w:pPr>
    </w:p>
    <w:p w:rsidR="00E341FB" w:rsidRDefault="00E341FB" w:rsidP="008B5E1C">
      <w:pPr>
        <w:pStyle w:val="ListParagraph"/>
        <w:numPr>
          <w:ilvl w:val="0"/>
          <w:numId w:val="17"/>
        </w:numPr>
      </w:pPr>
      <w:r>
        <w:t>The ACR process applies to all undergraduate taught provision and postgraduate taught and on-l</w:t>
      </w:r>
      <w:r w:rsidR="00B61532">
        <w:t>ine distance learning provision delivered by the University of Sussex.  Courses delivered by partner institutions are subject to a separate Annual Monitoring process.</w:t>
      </w:r>
    </w:p>
    <w:p w:rsidR="008344A4" w:rsidRDefault="008344A4" w:rsidP="008344A4">
      <w:pPr>
        <w:pStyle w:val="ListParagraph"/>
      </w:pPr>
    </w:p>
    <w:p w:rsidR="00E341FB" w:rsidRDefault="008344A4" w:rsidP="008B5E1C">
      <w:pPr>
        <w:pStyle w:val="ListParagraph"/>
        <w:numPr>
          <w:ilvl w:val="0"/>
          <w:numId w:val="17"/>
        </w:numPr>
      </w:pPr>
      <w:r>
        <w:t>Whilst it is recommended that the ACR is completed at department or subject level, Schools can choose how they wish to group their provision.  Joint degrees should be included in reports from the owning School, with input as appropriate from other Schools involved in the delivery.</w:t>
      </w:r>
    </w:p>
    <w:p w:rsidR="008344A4" w:rsidRDefault="008344A4" w:rsidP="008344A4"/>
    <w:p w:rsidR="000D25D0" w:rsidRDefault="00780C4A" w:rsidP="008B5E1C">
      <w:pPr>
        <w:pStyle w:val="ListParagraph"/>
        <w:numPr>
          <w:ilvl w:val="0"/>
          <w:numId w:val="17"/>
        </w:numPr>
      </w:pPr>
      <w:r>
        <w:t xml:space="preserve">The outcomes of ACR are reported to </w:t>
      </w:r>
      <w:r w:rsidR="0097335E">
        <w:t>the University Education Committee (UEC)</w:t>
      </w:r>
      <w:r>
        <w:t>.</w:t>
      </w:r>
    </w:p>
    <w:p w:rsidR="000D25D0" w:rsidRDefault="000D25D0" w:rsidP="000D25D0"/>
    <w:p w:rsidR="000D25D0" w:rsidRPr="008B5E1C" w:rsidRDefault="007B36FE" w:rsidP="008B5E1C">
      <w:pPr>
        <w:rPr>
          <w:b/>
        </w:rPr>
      </w:pPr>
      <w:r w:rsidRPr="008B5E1C">
        <w:rPr>
          <w:b/>
        </w:rPr>
        <w:t xml:space="preserve">The </w:t>
      </w:r>
      <w:r w:rsidR="00780C4A" w:rsidRPr="008B5E1C">
        <w:rPr>
          <w:b/>
        </w:rPr>
        <w:t>Aims of</w:t>
      </w:r>
      <w:r w:rsidRPr="008B5E1C">
        <w:rPr>
          <w:b/>
        </w:rPr>
        <w:t xml:space="preserve"> Annual Course Review</w:t>
      </w:r>
    </w:p>
    <w:p w:rsidR="007B36FE" w:rsidRDefault="007B36FE" w:rsidP="007B36FE">
      <w:pPr>
        <w:rPr>
          <w:b/>
        </w:rPr>
      </w:pPr>
    </w:p>
    <w:p w:rsidR="007B36FE" w:rsidRDefault="00780C4A" w:rsidP="008B5E1C">
      <w:pPr>
        <w:pStyle w:val="ListParagraph"/>
        <w:numPr>
          <w:ilvl w:val="0"/>
          <w:numId w:val="17"/>
        </w:numPr>
      </w:pPr>
      <w:r>
        <w:t>The broad aims of ACR are to:</w:t>
      </w:r>
    </w:p>
    <w:p w:rsidR="00780C4A" w:rsidRDefault="00780C4A" w:rsidP="00780C4A">
      <w:pPr>
        <w:pStyle w:val="ListParagraph"/>
        <w:ind w:left="675"/>
      </w:pPr>
    </w:p>
    <w:p w:rsidR="00780C4A" w:rsidRDefault="00780C4A" w:rsidP="00780C4A">
      <w:pPr>
        <w:pStyle w:val="ListParagraph"/>
        <w:numPr>
          <w:ilvl w:val="0"/>
          <w:numId w:val="8"/>
        </w:numPr>
      </w:pPr>
      <w:r>
        <w:t xml:space="preserve">Identify any problems in the content or delivery of a </w:t>
      </w:r>
      <w:r w:rsidR="00B61532">
        <w:t>course</w:t>
      </w:r>
      <w:r>
        <w:t xml:space="preserve"> and to take timely action to remedy those problems;</w:t>
      </w:r>
    </w:p>
    <w:p w:rsidR="00780C4A" w:rsidRDefault="00780C4A" w:rsidP="00780C4A">
      <w:pPr>
        <w:pStyle w:val="ListParagraph"/>
        <w:numPr>
          <w:ilvl w:val="0"/>
          <w:numId w:val="8"/>
        </w:numPr>
      </w:pPr>
      <w:r>
        <w:lastRenderedPageBreak/>
        <w:t xml:space="preserve">Encourage reflection on student performance and to seek improvements to </w:t>
      </w:r>
      <w:r w:rsidR="00B61532">
        <w:t>courses</w:t>
      </w:r>
      <w:r>
        <w:t xml:space="preserve"> in the light of that reflection;</w:t>
      </w:r>
    </w:p>
    <w:p w:rsidR="00780C4A" w:rsidRDefault="00780C4A" w:rsidP="00780C4A">
      <w:pPr>
        <w:pStyle w:val="ListParagraph"/>
        <w:numPr>
          <w:ilvl w:val="0"/>
          <w:numId w:val="8"/>
        </w:numPr>
      </w:pPr>
      <w:r>
        <w:t>Take account of the views of students with regard to the quality of the student experience;</w:t>
      </w:r>
    </w:p>
    <w:p w:rsidR="00780C4A" w:rsidRDefault="00780C4A" w:rsidP="00780C4A">
      <w:pPr>
        <w:pStyle w:val="ListParagraph"/>
        <w:numPr>
          <w:ilvl w:val="0"/>
          <w:numId w:val="8"/>
        </w:numPr>
      </w:pPr>
      <w:r>
        <w:t>Ensure that issues raised by external examiners are acted upon;</w:t>
      </w:r>
    </w:p>
    <w:p w:rsidR="00780C4A" w:rsidRDefault="00780C4A" w:rsidP="00780C4A">
      <w:pPr>
        <w:pStyle w:val="ListParagraph"/>
        <w:numPr>
          <w:ilvl w:val="0"/>
          <w:numId w:val="8"/>
        </w:numPr>
      </w:pPr>
      <w:r>
        <w:t>Identify and disseminate innovation and good practice and to capture opportunities for enhancement;</w:t>
      </w:r>
    </w:p>
    <w:p w:rsidR="00780C4A" w:rsidRDefault="00780C4A" w:rsidP="00780C4A">
      <w:pPr>
        <w:pStyle w:val="ListParagraph"/>
        <w:numPr>
          <w:ilvl w:val="0"/>
          <w:numId w:val="8"/>
        </w:numPr>
      </w:pPr>
      <w:r>
        <w:t xml:space="preserve">Draw to the attention of the University generic quality issues that can only be considered above the level of individual </w:t>
      </w:r>
      <w:r w:rsidR="00B61532">
        <w:t>courses or S</w:t>
      </w:r>
      <w:r>
        <w:t>chools;</w:t>
      </w:r>
    </w:p>
    <w:p w:rsidR="00780C4A" w:rsidRDefault="00780C4A" w:rsidP="00780C4A">
      <w:pPr>
        <w:pStyle w:val="ListParagraph"/>
        <w:numPr>
          <w:ilvl w:val="0"/>
          <w:numId w:val="8"/>
        </w:numPr>
      </w:pPr>
      <w:r>
        <w:t>Contribute to strategic, academic and resource planning;</w:t>
      </w:r>
    </w:p>
    <w:p w:rsidR="00780C4A" w:rsidRDefault="00B61532" w:rsidP="00780C4A">
      <w:pPr>
        <w:pStyle w:val="ListParagraph"/>
        <w:numPr>
          <w:ilvl w:val="0"/>
          <w:numId w:val="8"/>
        </w:numPr>
      </w:pPr>
      <w:r>
        <w:t>Allow the University to fulfil its responsibilities for maintaining the standards of its awards</w:t>
      </w:r>
      <w:r w:rsidR="00780C4A">
        <w:t>.</w:t>
      </w:r>
    </w:p>
    <w:p w:rsidR="00780C4A" w:rsidRDefault="00780C4A" w:rsidP="00780C4A"/>
    <w:p w:rsidR="00780C4A" w:rsidRPr="008B5E1C" w:rsidRDefault="00780C4A" w:rsidP="008B5E1C">
      <w:pPr>
        <w:rPr>
          <w:b/>
        </w:rPr>
      </w:pPr>
      <w:r w:rsidRPr="008B5E1C">
        <w:rPr>
          <w:b/>
        </w:rPr>
        <w:t>Responsibilities in the ACR process</w:t>
      </w:r>
    </w:p>
    <w:p w:rsidR="00780C4A" w:rsidRDefault="00780C4A" w:rsidP="00780C4A">
      <w:pPr>
        <w:rPr>
          <w:b/>
        </w:rPr>
      </w:pPr>
    </w:p>
    <w:p w:rsidR="00780C4A" w:rsidRDefault="00780C4A" w:rsidP="008B5E1C">
      <w:pPr>
        <w:pStyle w:val="ListParagraph"/>
        <w:numPr>
          <w:ilvl w:val="0"/>
          <w:numId w:val="17"/>
        </w:numPr>
      </w:pPr>
      <w:r>
        <w:t xml:space="preserve">Senate has overall responsibility for quality and standards.  Senate delegates to the University Education Committee the responsibility for the development, maintenance and implementation of the monitoring procedures and any policies related to those procedures.  </w:t>
      </w:r>
    </w:p>
    <w:p w:rsidR="008344A4" w:rsidRDefault="008344A4" w:rsidP="008344A4"/>
    <w:p w:rsidR="008344A4" w:rsidRDefault="008344A4" w:rsidP="008B5E1C">
      <w:pPr>
        <w:pStyle w:val="ListParagraph"/>
        <w:numPr>
          <w:ilvl w:val="0"/>
          <w:numId w:val="17"/>
        </w:numPr>
      </w:pPr>
      <w:r>
        <w:t xml:space="preserve">The Board of Study is responsible for the review of all courses in its remit and for producing the course level documentation for the ACR.  </w:t>
      </w:r>
    </w:p>
    <w:p w:rsidR="00780C4A" w:rsidRDefault="00780C4A" w:rsidP="00780C4A"/>
    <w:p w:rsidR="00780C4A" w:rsidRDefault="00780C4A" w:rsidP="008B5E1C">
      <w:pPr>
        <w:pStyle w:val="ListParagraph"/>
        <w:numPr>
          <w:ilvl w:val="0"/>
          <w:numId w:val="17"/>
        </w:numPr>
      </w:pPr>
      <w:r>
        <w:t xml:space="preserve">School Teaching and Learning Committees </w:t>
      </w:r>
      <w:r w:rsidR="00E341FB">
        <w:t>(STLC</w:t>
      </w:r>
      <w:r w:rsidR="00B61532">
        <w:t>s</w:t>
      </w:r>
      <w:r w:rsidR="00E341FB">
        <w:t xml:space="preserve">) </w:t>
      </w:r>
      <w:r>
        <w:t>are responsible for the local implementation of tho</w:t>
      </w:r>
      <w:r w:rsidR="00E341FB">
        <w:t xml:space="preserve">se procedures.  As part of this responsibility, the STLC will confirm that the process of ACR has been conducted appropriately within the School. </w:t>
      </w:r>
    </w:p>
    <w:p w:rsidR="00E341FB" w:rsidRDefault="00E341FB" w:rsidP="00E341FB">
      <w:pPr>
        <w:pStyle w:val="ListParagraph"/>
      </w:pPr>
    </w:p>
    <w:p w:rsidR="00E341FB" w:rsidRDefault="00E341FB" w:rsidP="008B5E1C">
      <w:pPr>
        <w:pStyle w:val="ListParagraph"/>
        <w:numPr>
          <w:ilvl w:val="0"/>
          <w:numId w:val="17"/>
        </w:numPr>
      </w:pPr>
      <w:r>
        <w:t xml:space="preserve">School Directors of </w:t>
      </w:r>
      <w:r w:rsidR="00B61532">
        <w:t>Teaching and Learning</w:t>
      </w:r>
      <w:r>
        <w:t xml:space="preserve"> (DTLs) are responsible for the production of the School level summary reports.    All DTLs are invited to take part in the Annual </w:t>
      </w:r>
      <w:r w:rsidR="007F429F">
        <w:t>Enhancement event.</w:t>
      </w:r>
    </w:p>
    <w:p w:rsidR="00E341FB" w:rsidRDefault="00E341FB" w:rsidP="00E341FB">
      <w:pPr>
        <w:pStyle w:val="ListParagraph"/>
      </w:pPr>
    </w:p>
    <w:p w:rsidR="00E341FB" w:rsidRDefault="00E341FB" w:rsidP="008B5E1C">
      <w:pPr>
        <w:pStyle w:val="ListParagraph"/>
        <w:numPr>
          <w:ilvl w:val="0"/>
          <w:numId w:val="17"/>
        </w:numPr>
      </w:pPr>
      <w:r>
        <w:t xml:space="preserve">Academic Development and Quality Enhancement (ADQE) are responsible for organising the Annual Enhancement event and for preparing an overview report </w:t>
      </w:r>
      <w:r w:rsidR="00B61532">
        <w:t>f</w:t>
      </w:r>
      <w:r>
        <w:t>or the University Education Committee summarising the outcomes of all monitoring activity for the preceding year.</w:t>
      </w:r>
    </w:p>
    <w:p w:rsidR="00E341FB" w:rsidRDefault="00E341FB" w:rsidP="00E341FB">
      <w:pPr>
        <w:pStyle w:val="ListParagraph"/>
      </w:pPr>
    </w:p>
    <w:p w:rsidR="00E341FB" w:rsidRPr="008B5E1C" w:rsidRDefault="00E341FB" w:rsidP="008B5E1C">
      <w:pPr>
        <w:rPr>
          <w:b/>
        </w:rPr>
      </w:pPr>
      <w:r w:rsidRPr="008B5E1C">
        <w:rPr>
          <w:b/>
        </w:rPr>
        <w:t xml:space="preserve">Use of evidence to support </w:t>
      </w:r>
      <w:r w:rsidR="008344A4" w:rsidRPr="008B5E1C">
        <w:rPr>
          <w:b/>
        </w:rPr>
        <w:t>ACR</w:t>
      </w:r>
    </w:p>
    <w:p w:rsidR="00E341FB" w:rsidRDefault="00E341FB" w:rsidP="00E341FB">
      <w:pPr>
        <w:rPr>
          <w:b/>
        </w:rPr>
      </w:pPr>
    </w:p>
    <w:p w:rsidR="00E341FB" w:rsidRDefault="008344A4" w:rsidP="008B5E1C">
      <w:pPr>
        <w:pStyle w:val="ListParagraph"/>
        <w:numPr>
          <w:ilvl w:val="0"/>
          <w:numId w:val="17"/>
        </w:numPr>
      </w:pPr>
      <w:r>
        <w:t>The ACR process depends on the consideration of a collection of evidence that confirms the effectiveness of the provision.  Evidence is collected from a variety of sources but may include:</w:t>
      </w:r>
    </w:p>
    <w:p w:rsidR="008344A4" w:rsidRDefault="008344A4" w:rsidP="008344A4">
      <w:pPr>
        <w:ind w:left="709" w:hanging="709"/>
      </w:pPr>
    </w:p>
    <w:tbl>
      <w:tblPr>
        <w:tblStyle w:val="TableGrid"/>
        <w:tblW w:w="9356" w:type="dxa"/>
        <w:tblInd w:w="137" w:type="dxa"/>
        <w:tblLook w:val="04A0" w:firstRow="1" w:lastRow="0" w:firstColumn="1" w:lastColumn="0" w:noHBand="0" w:noVBand="1"/>
      </w:tblPr>
      <w:tblGrid>
        <w:gridCol w:w="1418"/>
        <w:gridCol w:w="3619"/>
        <w:gridCol w:w="2618"/>
        <w:gridCol w:w="1701"/>
      </w:tblGrid>
      <w:tr w:rsidR="0007467C" w:rsidRPr="0007467C" w:rsidTr="0007467C">
        <w:tc>
          <w:tcPr>
            <w:tcW w:w="1418" w:type="dxa"/>
            <w:shd w:val="clear" w:color="auto" w:fill="D9D9D9" w:themeFill="background1" w:themeFillShade="D9"/>
          </w:tcPr>
          <w:p w:rsidR="0007467C" w:rsidRPr="0007467C" w:rsidRDefault="0007467C" w:rsidP="008344A4">
            <w:pPr>
              <w:rPr>
                <w:b/>
                <w:sz w:val="20"/>
                <w:szCs w:val="20"/>
              </w:rPr>
            </w:pPr>
            <w:r w:rsidRPr="0007467C">
              <w:rPr>
                <w:b/>
                <w:sz w:val="20"/>
                <w:szCs w:val="20"/>
              </w:rPr>
              <w:t>Evidence</w:t>
            </w:r>
          </w:p>
        </w:tc>
        <w:tc>
          <w:tcPr>
            <w:tcW w:w="3619" w:type="dxa"/>
            <w:shd w:val="clear" w:color="auto" w:fill="D9D9D9" w:themeFill="background1" w:themeFillShade="D9"/>
          </w:tcPr>
          <w:p w:rsidR="0007467C" w:rsidRPr="0007467C" w:rsidRDefault="0007467C" w:rsidP="008344A4">
            <w:pPr>
              <w:rPr>
                <w:b/>
                <w:sz w:val="20"/>
                <w:szCs w:val="20"/>
              </w:rPr>
            </w:pPr>
            <w:r w:rsidRPr="0007467C">
              <w:rPr>
                <w:b/>
                <w:sz w:val="20"/>
                <w:szCs w:val="20"/>
              </w:rPr>
              <w:t>Detail</w:t>
            </w:r>
          </w:p>
        </w:tc>
        <w:tc>
          <w:tcPr>
            <w:tcW w:w="2618" w:type="dxa"/>
            <w:shd w:val="clear" w:color="auto" w:fill="D9D9D9" w:themeFill="background1" w:themeFillShade="D9"/>
          </w:tcPr>
          <w:p w:rsidR="0007467C" w:rsidRPr="0007467C" w:rsidRDefault="0007467C" w:rsidP="008344A4">
            <w:pPr>
              <w:rPr>
                <w:b/>
                <w:sz w:val="20"/>
                <w:szCs w:val="20"/>
              </w:rPr>
            </w:pPr>
            <w:r w:rsidRPr="0007467C">
              <w:rPr>
                <w:b/>
                <w:sz w:val="20"/>
                <w:szCs w:val="20"/>
              </w:rPr>
              <w:t>Source</w:t>
            </w:r>
          </w:p>
          <w:p w:rsidR="0007467C" w:rsidRPr="0007467C" w:rsidRDefault="0007467C" w:rsidP="008344A4">
            <w:pPr>
              <w:rPr>
                <w:b/>
                <w:sz w:val="20"/>
                <w:szCs w:val="20"/>
              </w:rPr>
            </w:pPr>
          </w:p>
        </w:tc>
        <w:tc>
          <w:tcPr>
            <w:tcW w:w="1701" w:type="dxa"/>
            <w:shd w:val="clear" w:color="auto" w:fill="D9D9D9" w:themeFill="background1" w:themeFillShade="D9"/>
          </w:tcPr>
          <w:p w:rsidR="0007467C" w:rsidRPr="0007467C" w:rsidRDefault="0007467C" w:rsidP="008344A4">
            <w:pPr>
              <w:rPr>
                <w:b/>
                <w:sz w:val="20"/>
                <w:szCs w:val="20"/>
              </w:rPr>
            </w:pPr>
            <w:r w:rsidRPr="0007467C">
              <w:rPr>
                <w:b/>
                <w:sz w:val="20"/>
                <w:szCs w:val="20"/>
              </w:rPr>
              <w:t>Date</w:t>
            </w:r>
            <w:r>
              <w:rPr>
                <w:b/>
                <w:sz w:val="20"/>
                <w:szCs w:val="20"/>
              </w:rPr>
              <w:t xml:space="preserve"> avail.</w:t>
            </w:r>
          </w:p>
        </w:tc>
      </w:tr>
      <w:tr w:rsidR="0007467C" w:rsidRPr="0007467C" w:rsidTr="0007467C">
        <w:tc>
          <w:tcPr>
            <w:tcW w:w="1418" w:type="dxa"/>
          </w:tcPr>
          <w:p w:rsidR="0007467C" w:rsidRPr="0007467C" w:rsidRDefault="0007467C" w:rsidP="008344A4">
            <w:pPr>
              <w:rPr>
                <w:sz w:val="20"/>
                <w:szCs w:val="20"/>
              </w:rPr>
            </w:pPr>
            <w:r w:rsidRPr="0007467C">
              <w:rPr>
                <w:sz w:val="20"/>
                <w:szCs w:val="20"/>
              </w:rPr>
              <w:t>Data</w:t>
            </w:r>
          </w:p>
        </w:tc>
        <w:tc>
          <w:tcPr>
            <w:tcW w:w="3619" w:type="dxa"/>
          </w:tcPr>
          <w:p w:rsidR="0007467C" w:rsidRPr="0007467C" w:rsidRDefault="0007467C" w:rsidP="008344A4">
            <w:pPr>
              <w:rPr>
                <w:sz w:val="20"/>
                <w:szCs w:val="20"/>
              </w:rPr>
            </w:pPr>
            <w:r w:rsidRPr="0007467C">
              <w:rPr>
                <w:sz w:val="20"/>
                <w:szCs w:val="20"/>
              </w:rPr>
              <w:t>Applications</w:t>
            </w:r>
          </w:p>
          <w:p w:rsidR="0007467C" w:rsidRPr="0007467C" w:rsidRDefault="0007467C" w:rsidP="008344A4">
            <w:pPr>
              <w:rPr>
                <w:sz w:val="20"/>
                <w:szCs w:val="20"/>
              </w:rPr>
            </w:pPr>
            <w:r w:rsidRPr="0007467C">
              <w:rPr>
                <w:sz w:val="20"/>
                <w:szCs w:val="20"/>
              </w:rPr>
              <w:t>Enrolments</w:t>
            </w:r>
          </w:p>
          <w:p w:rsidR="0007467C" w:rsidRPr="0007467C" w:rsidRDefault="0007467C" w:rsidP="008344A4">
            <w:pPr>
              <w:rPr>
                <w:sz w:val="20"/>
                <w:szCs w:val="20"/>
              </w:rPr>
            </w:pPr>
            <w:r w:rsidRPr="0007467C">
              <w:rPr>
                <w:sz w:val="20"/>
                <w:szCs w:val="20"/>
              </w:rPr>
              <w:t>Progression</w:t>
            </w:r>
          </w:p>
          <w:p w:rsidR="0007467C" w:rsidRDefault="0007467C" w:rsidP="008344A4">
            <w:pPr>
              <w:rPr>
                <w:sz w:val="20"/>
                <w:szCs w:val="20"/>
              </w:rPr>
            </w:pPr>
            <w:r w:rsidRPr="0007467C">
              <w:rPr>
                <w:sz w:val="20"/>
                <w:szCs w:val="20"/>
              </w:rPr>
              <w:t>Degree Outcomes</w:t>
            </w:r>
            <w:r w:rsidR="00B61532">
              <w:rPr>
                <w:sz w:val="20"/>
                <w:szCs w:val="20"/>
              </w:rPr>
              <w:t xml:space="preserve"> </w:t>
            </w:r>
          </w:p>
          <w:p w:rsidR="0007467C" w:rsidRPr="0007467C" w:rsidRDefault="0007467C" w:rsidP="008344A4">
            <w:pPr>
              <w:rPr>
                <w:sz w:val="20"/>
                <w:szCs w:val="20"/>
              </w:rPr>
            </w:pPr>
            <w:r w:rsidRPr="0007467C">
              <w:rPr>
                <w:sz w:val="20"/>
                <w:szCs w:val="20"/>
              </w:rPr>
              <w:t>Employment outco</w:t>
            </w:r>
            <w:r w:rsidR="00B61532">
              <w:rPr>
                <w:sz w:val="20"/>
                <w:szCs w:val="20"/>
              </w:rPr>
              <w:t>mes (DLHE) (2017)</w:t>
            </w:r>
          </w:p>
          <w:p w:rsidR="0007467C" w:rsidRPr="0007467C" w:rsidRDefault="0007467C" w:rsidP="008344A4">
            <w:pPr>
              <w:rPr>
                <w:sz w:val="20"/>
                <w:szCs w:val="20"/>
              </w:rPr>
            </w:pPr>
            <w:r w:rsidRPr="0007467C">
              <w:rPr>
                <w:sz w:val="20"/>
                <w:szCs w:val="20"/>
              </w:rPr>
              <w:t>Appeals</w:t>
            </w:r>
          </w:p>
          <w:p w:rsidR="0007467C" w:rsidRPr="0007467C" w:rsidRDefault="0007467C" w:rsidP="008344A4">
            <w:pPr>
              <w:rPr>
                <w:sz w:val="20"/>
                <w:szCs w:val="20"/>
              </w:rPr>
            </w:pPr>
            <w:r w:rsidRPr="0007467C">
              <w:rPr>
                <w:sz w:val="20"/>
                <w:szCs w:val="20"/>
              </w:rPr>
              <w:t>Academic misconduct cases</w:t>
            </w:r>
          </w:p>
        </w:tc>
        <w:tc>
          <w:tcPr>
            <w:tcW w:w="2618" w:type="dxa"/>
          </w:tcPr>
          <w:p w:rsidR="0007467C" w:rsidRPr="00B61532" w:rsidRDefault="0007467C" w:rsidP="008344A4">
            <w:pPr>
              <w:rPr>
                <w:sz w:val="20"/>
                <w:szCs w:val="20"/>
              </w:rPr>
            </w:pPr>
            <w:r w:rsidRPr="00B61532">
              <w:rPr>
                <w:sz w:val="20"/>
                <w:szCs w:val="20"/>
              </w:rPr>
              <w:t>Admissions</w:t>
            </w:r>
          </w:p>
          <w:p w:rsidR="0007467C" w:rsidRPr="00B61532" w:rsidRDefault="0007467C" w:rsidP="008344A4">
            <w:pPr>
              <w:rPr>
                <w:sz w:val="20"/>
                <w:szCs w:val="20"/>
              </w:rPr>
            </w:pPr>
            <w:r w:rsidRPr="00B61532">
              <w:rPr>
                <w:sz w:val="20"/>
                <w:szCs w:val="20"/>
              </w:rPr>
              <w:t>SSRO</w:t>
            </w:r>
          </w:p>
          <w:p w:rsidR="0007467C" w:rsidRPr="00B61532" w:rsidRDefault="0007467C" w:rsidP="008344A4">
            <w:pPr>
              <w:rPr>
                <w:sz w:val="20"/>
                <w:szCs w:val="20"/>
              </w:rPr>
            </w:pPr>
            <w:r w:rsidRPr="00B61532">
              <w:rPr>
                <w:sz w:val="20"/>
                <w:szCs w:val="20"/>
              </w:rPr>
              <w:t>SSRO</w:t>
            </w:r>
          </w:p>
          <w:p w:rsidR="0007467C" w:rsidRPr="00B61532" w:rsidRDefault="0007467C" w:rsidP="008344A4">
            <w:pPr>
              <w:rPr>
                <w:sz w:val="20"/>
                <w:szCs w:val="20"/>
              </w:rPr>
            </w:pPr>
            <w:r w:rsidRPr="00B61532">
              <w:rPr>
                <w:sz w:val="20"/>
                <w:szCs w:val="20"/>
              </w:rPr>
              <w:t xml:space="preserve">SSRO </w:t>
            </w:r>
          </w:p>
          <w:p w:rsidR="0007467C" w:rsidRPr="00B61532" w:rsidRDefault="000C0F5F" w:rsidP="008344A4">
            <w:pPr>
              <w:rPr>
                <w:sz w:val="20"/>
                <w:szCs w:val="20"/>
              </w:rPr>
            </w:pPr>
            <w:hyperlink r:id="rId8" w:history="1">
              <w:r w:rsidR="00B61532" w:rsidRPr="00B61532">
                <w:rPr>
                  <w:rStyle w:val="Hyperlink"/>
                  <w:sz w:val="20"/>
                  <w:szCs w:val="20"/>
                </w:rPr>
                <w:t>Sussex Direct</w:t>
              </w:r>
            </w:hyperlink>
            <w:r w:rsidR="00B61532" w:rsidRPr="00B61532">
              <w:rPr>
                <w:sz w:val="20"/>
                <w:szCs w:val="20"/>
              </w:rPr>
              <w:t xml:space="preserve"> </w:t>
            </w:r>
          </w:p>
          <w:p w:rsidR="0007467C" w:rsidRPr="00B61532" w:rsidRDefault="000C0F5F" w:rsidP="008344A4">
            <w:pPr>
              <w:rPr>
                <w:sz w:val="20"/>
                <w:szCs w:val="20"/>
              </w:rPr>
            </w:pPr>
            <w:hyperlink r:id="rId9" w:history="1">
              <w:r w:rsidR="0007467C" w:rsidRPr="00B61532">
                <w:rPr>
                  <w:rStyle w:val="Hyperlink"/>
                  <w:sz w:val="20"/>
                  <w:szCs w:val="20"/>
                </w:rPr>
                <w:t>Annual Report to UEC</w:t>
              </w:r>
            </w:hyperlink>
          </w:p>
          <w:p w:rsidR="0007467C" w:rsidRPr="00B61532" w:rsidRDefault="000C0F5F" w:rsidP="008344A4">
            <w:pPr>
              <w:rPr>
                <w:sz w:val="20"/>
                <w:szCs w:val="20"/>
              </w:rPr>
            </w:pPr>
            <w:hyperlink r:id="rId10" w:history="1">
              <w:r w:rsidR="0007467C" w:rsidRPr="00B61532">
                <w:rPr>
                  <w:rStyle w:val="Hyperlink"/>
                  <w:sz w:val="20"/>
                  <w:szCs w:val="20"/>
                </w:rPr>
                <w:t>Annual Report to UEC</w:t>
              </w:r>
            </w:hyperlink>
          </w:p>
        </w:tc>
        <w:tc>
          <w:tcPr>
            <w:tcW w:w="1701" w:type="dxa"/>
          </w:tcPr>
          <w:p w:rsidR="0007467C" w:rsidRPr="00B61532" w:rsidRDefault="0007467C" w:rsidP="008344A4">
            <w:pPr>
              <w:rPr>
                <w:sz w:val="20"/>
                <w:szCs w:val="20"/>
              </w:rPr>
            </w:pPr>
            <w:r w:rsidRPr="00B61532">
              <w:rPr>
                <w:sz w:val="20"/>
                <w:szCs w:val="20"/>
              </w:rPr>
              <w:t>October 2018</w:t>
            </w:r>
          </w:p>
          <w:p w:rsidR="0007467C" w:rsidRPr="00B61532" w:rsidRDefault="0007467C" w:rsidP="008344A4">
            <w:pPr>
              <w:rPr>
                <w:sz w:val="20"/>
                <w:szCs w:val="20"/>
              </w:rPr>
            </w:pPr>
            <w:r w:rsidRPr="00B61532">
              <w:rPr>
                <w:sz w:val="20"/>
                <w:szCs w:val="20"/>
              </w:rPr>
              <w:t>December 2018</w:t>
            </w:r>
          </w:p>
          <w:p w:rsidR="00B61532" w:rsidRPr="00B61532" w:rsidRDefault="00B61532" w:rsidP="008344A4">
            <w:pPr>
              <w:rPr>
                <w:sz w:val="20"/>
                <w:szCs w:val="20"/>
              </w:rPr>
            </w:pPr>
            <w:r w:rsidRPr="00B61532">
              <w:rPr>
                <w:sz w:val="20"/>
                <w:szCs w:val="20"/>
              </w:rPr>
              <w:t>End of Oct 2019</w:t>
            </w:r>
          </w:p>
          <w:p w:rsidR="00B61532" w:rsidRPr="00B61532" w:rsidRDefault="00B61532" w:rsidP="00B61532">
            <w:pPr>
              <w:rPr>
                <w:sz w:val="20"/>
                <w:szCs w:val="20"/>
              </w:rPr>
            </w:pPr>
            <w:r w:rsidRPr="00B61532">
              <w:rPr>
                <w:sz w:val="20"/>
                <w:szCs w:val="20"/>
              </w:rPr>
              <w:t>End of Oct 2019</w:t>
            </w:r>
          </w:p>
          <w:p w:rsidR="00B61532" w:rsidRPr="00B61532" w:rsidRDefault="00B61532" w:rsidP="008344A4">
            <w:pPr>
              <w:rPr>
                <w:sz w:val="20"/>
                <w:szCs w:val="20"/>
              </w:rPr>
            </w:pPr>
          </w:p>
        </w:tc>
      </w:tr>
      <w:tr w:rsidR="0007467C" w:rsidRPr="0007467C" w:rsidTr="0007467C">
        <w:tc>
          <w:tcPr>
            <w:tcW w:w="1418" w:type="dxa"/>
          </w:tcPr>
          <w:p w:rsidR="0007467C" w:rsidRPr="0007467C" w:rsidRDefault="0007467C" w:rsidP="008344A4">
            <w:pPr>
              <w:rPr>
                <w:sz w:val="20"/>
                <w:szCs w:val="20"/>
              </w:rPr>
            </w:pPr>
            <w:r w:rsidRPr="0007467C">
              <w:rPr>
                <w:sz w:val="20"/>
                <w:szCs w:val="20"/>
              </w:rPr>
              <w:t>Feedback from students</w:t>
            </w:r>
          </w:p>
        </w:tc>
        <w:tc>
          <w:tcPr>
            <w:tcW w:w="3619" w:type="dxa"/>
          </w:tcPr>
          <w:p w:rsidR="0007467C" w:rsidRPr="0007467C" w:rsidRDefault="0007467C" w:rsidP="008344A4">
            <w:pPr>
              <w:rPr>
                <w:sz w:val="20"/>
                <w:szCs w:val="20"/>
              </w:rPr>
            </w:pPr>
            <w:r w:rsidRPr="0007467C">
              <w:rPr>
                <w:sz w:val="20"/>
                <w:szCs w:val="20"/>
              </w:rPr>
              <w:t>Boards of Study</w:t>
            </w:r>
          </w:p>
          <w:p w:rsidR="0007467C" w:rsidRPr="0007467C" w:rsidRDefault="0007467C" w:rsidP="008344A4">
            <w:pPr>
              <w:rPr>
                <w:sz w:val="20"/>
                <w:szCs w:val="20"/>
              </w:rPr>
            </w:pPr>
            <w:r w:rsidRPr="0007467C">
              <w:rPr>
                <w:sz w:val="20"/>
                <w:szCs w:val="20"/>
              </w:rPr>
              <w:t>End of Terms Evaluation Questionnaires</w:t>
            </w:r>
          </w:p>
          <w:p w:rsidR="0007467C" w:rsidRPr="0007467C" w:rsidRDefault="0007467C" w:rsidP="008344A4">
            <w:pPr>
              <w:rPr>
                <w:sz w:val="20"/>
                <w:szCs w:val="20"/>
              </w:rPr>
            </w:pPr>
            <w:r w:rsidRPr="0007467C">
              <w:rPr>
                <w:sz w:val="20"/>
                <w:szCs w:val="20"/>
              </w:rPr>
              <w:t>Mid-term feedback where gathered</w:t>
            </w:r>
          </w:p>
          <w:p w:rsidR="0007467C" w:rsidRPr="0007467C" w:rsidRDefault="0007467C" w:rsidP="008344A4">
            <w:pPr>
              <w:rPr>
                <w:sz w:val="20"/>
                <w:szCs w:val="20"/>
              </w:rPr>
            </w:pPr>
            <w:r w:rsidRPr="0007467C">
              <w:rPr>
                <w:sz w:val="20"/>
                <w:szCs w:val="20"/>
              </w:rPr>
              <w:lastRenderedPageBreak/>
              <w:t>National Student Survey (NSS)</w:t>
            </w:r>
          </w:p>
          <w:p w:rsidR="0007467C" w:rsidRPr="0007467C" w:rsidRDefault="0007467C" w:rsidP="008344A4">
            <w:pPr>
              <w:rPr>
                <w:sz w:val="20"/>
                <w:szCs w:val="20"/>
              </w:rPr>
            </w:pPr>
            <w:r w:rsidRPr="0007467C">
              <w:rPr>
                <w:sz w:val="20"/>
                <w:szCs w:val="20"/>
              </w:rPr>
              <w:t>Student Barometer</w:t>
            </w:r>
          </w:p>
          <w:p w:rsidR="0007467C" w:rsidRPr="0007467C" w:rsidRDefault="0007467C" w:rsidP="008344A4">
            <w:pPr>
              <w:rPr>
                <w:sz w:val="20"/>
                <w:szCs w:val="20"/>
              </w:rPr>
            </w:pPr>
          </w:p>
        </w:tc>
        <w:tc>
          <w:tcPr>
            <w:tcW w:w="2618" w:type="dxa"/>
          </w:tcPr>
          <w:p w:rsidR="0007467C" w:rsidRPr="00B61532" w:rsidRDefault="0007467C" w:rsidP="008344A4">
            <w:pPr>
              <w:rPr>
                <w:sz w:val="20"/>
                <w:szCs w:val="20"/>
              </w:rPr>
            </w:pPr>
            <w:r w:rsidRPr="00B61532">
              <w:rPr>
                <w:sz w:val="20"/>
                <w:szCs w:val="20"/>
              </w:rPr>
              <w:lastRenderedPageBreak/>
              <w:t>Schools</w:t>
            </w:r>
          </w:p>
          <w:p w:rsidR="0007467C" w:rsidRPr="00B61532" w:rsidRDefault="0007467C" w:rsidP="008344A4">
            <w:pPr>
              <w:rPr>
                <w:sz w:val="20"/>
                <w:szCs w:val="20"/>
              </w:rPr>
            </w:pPr>
            <w:proofErr w:type="spellStart"/>
            <w:r w:rsidRPr="00B61532">
              <w:rPr>
                <w:sz w:val="20"/>
                <w:szCs w:val="20"/>
              </w:rPr>
              <w:t>Cognos</w:t>
            </w:r>
            <w:proofErr w:type="spellEnd"/>
          </w:p>
          <w:p w:rsidR="0007467C" w:rsidRPr="00B61532" w:rsidRDefault="0007467C" w:rsidP="008344A4">
            <w:pPr>
              <w:rPr>
                <w:sz w:val="20"/>
                <w:szCs w:val="20"/>
              </w:rPr>
            </w:pPr>
          </w:p>
          <w:p w:rsidR="0007467C" w:rsidRPr="00B61532" w:rsidRDefault="0007467C" w:rsidP="008344A4">
            <w:pPr>
              <w:rPr>
                <w:sz w:val="20"/>
                <w:szCs w:val="20"/>
              </w:rPr>
            </w:pPr>
            <w:r w:rsidRPr="00B61532">
              <w:rPr>
                <w:sz w:val="20"/>
                <w:szCs w:val="20"/>
              </w:rPr>
              <w:t>Schools</w:t>
            </w:r>
            <w:bookmarkStart w:id="0" w:name="_GoBack"/>
            <w:bookmarkEnd w:id="0"/>
          </w:p>
          <w:p w:rsidR="0007467C" w:rsidRPr="00B61532" w:rsidRDefault="0007467C" w:rsidP="008344A4">
            <w:pPr>
              <w:rPr>
                <w:sz w:val="20"/>
                <w:szCs w:val="20"/>
              </w:rPr>
            </w:pPr>
            <w:r w:rsidRPr="00B61532">
              <w:rPr>
                <w:sz w:val="20"/>
                <w:szCs w:val="20"/>
              </w:rPr>
              <w:lastRenderedPageBreak/>
              <w:t>Planning</w:t>
            </w:r>
          </w:p>
          <w:p w:rsidR="0007467C" w:rsidRPr="00B61532" w:rsidRDefault="0007467C" w:rsidP="008344A4">
            <w:pPr>
              <w:rPr>
                <w:sz w:val="20"/>
                <w:szCs w:val="20"/>
              </w:rPr>
            </w:pPr>
            <w:r w:rsidRPr="00B61532">
              <w:rPr>
                <w:sz w:val="20"/>
                <w:szCs w:val="20"/>
              </w:rPr>
              <w:t>TBC</w:t>
            </w:r>
          </w:p>
        </w:tc>
        <w:tc>
          <w:tcPr>
            <w:tcW w:w="1701" w:type="dxa"/>
          </w:tcPr>
          <w:p w:rsidR="0007467C" w:rsidRPr="000C0F5F" w:rsidRDefault="0007467C" w:rsidP="008344A4">
            <w:pPr>
              <w:rPr>
                <w:sz w:val="20"/>
                <w:szCs w:val="20"/>
              </w:rPr>
            </w:pPr>
          </w:p>
          <w:p w:rsidR="0007467C" w:rsidRPr="000C0F5F" w:rsidRDefault="0007467C" w:rsidP="008344A4">
            <w:pPr>
              <w:rPr>
                <w:sz w:val="20"/>
                <w:szCs w:val="20"/>
              </w:rPr>
            </w:pPr>
          </w:p>
          <w:p w:rsidR="0007467C" w:rsidRPr="000C0F5F" w:rsidRDefault="0007467C" w:rsidP="008344A4">
            <w:pPr>
              <w:rPr>
                <w:sz w:val="20"/>
                <w:szCs w:val="20"/>
              </w:rPr>
            </w:pPr>
          </w:p>
          <w:p w:rsidR="0007467C" w:rsidRPr="000C0F5F" w:rsidRDefault="0007467C" w:rsidP="008344A4">
            <w:pPr>
              <w:rPr>
                <w:sz w:val="20"/>
                <w:szCs w:val="20"/>
              </w:rPr>
            </w:pPr>
          </w:p>
          <w:p w:rsidR="0007467C" w:rsidRPr="000C0F5F" w:rsidRDefault="0007467C" w:rsidP="008344A4">
            <w:pPr>
              <w:rPr>
                <w:sz w:val="20"/>
                <w:szCs w:val="20"/>
              </w:rPr>
            </w:pPr>
            <w:r w:rsidRPr="000C0F5F">
              <w:rPr>
                <w:sz w:val="20"/>
                <w:szCs w:val="20"/>
              </w:rPr>
              <w:lastRenderedPageBreak/>
              <w:t>August 2019</w:t>
            </w:r>
          </w:p>
          <w:p w:rsidR="0007467C" w:rsidRPr="000C0F5F" w:rsidRDefault="0007467C" w:rsidP="008344A4">
            <w:pPr>
              <w:rPr>
                <w:sz w:val="20"/>
                <w:szCs w:val="20"/>
              </w:rPr>
            </w:pPr>
          </w:p>
        </w:tc>
      </w:tr>
      <w:tr w:rsidR="0007467C" w:rsidRPr="0007467C" w:rsidTr="0007467C">
        <w:tc>
          <w:tcPr>
            <w:tcW w:w="1418" w:type="dxa"/>
          </w:tcPr>
          <w:p w:rsidR="0007467C" w:rsidRPr="0007467C" w:rsidRDefault="0007467C" w:rsidP="008344A4">
            <w:pPr>
              <w:rPr>
                <w:sz w:val="20"/>
                <w:szCs w:val="20"/>
              </w:rPr>
            </w:pPr>
            <w:r w:rsidRPr="0007467C">
              <w:rPr>
                <w:sz w:val="20"/>
                <w:szCs w:val="20"/>
              </w:rPr>
              <w:lastRenderedPageBreak/>
              <w:t xml:space="preserve">External feedback </w:t>
            </w:r>
          </w:p>
        </w:tc>
        <w:tc>
          <w:tcPr>
            <w:tcW w:w="3619" w:type="dxa"/>
          </w:tcPr>
          <w:p w:rsidR="0007467C" w:rsidRDefault="0007467C" w:rsidP="008344A4">
            <w:pPr>
              <w:rPr>
                <w:sz w:val="20"/>
                <w:szCs w:val="20"/>
              </w:rPr>
            </w:pPr>
            <w:r>
              <w:rPr>
                <w:sz w:val="20"/>
                <w:szCs w:val="20"/>
              </w:rPr>
              <w:t xml:space="preserve">UG </w:t>
            </w:r>
            <w:r w:rsidRPr="0007467C">
              <w:rPr>
                <w:sz w:val="20"/>
                <w:szCs w:val="20"/>
              </w:rPr>
              <w:t>External Examiner reports</w:t>
            </w:r>
          </w:p>
          <w:p w:rsidR="0007467C" w:rsidRDefault="0007467C" w:rsidP="008344A4">
            <w:pPr>
              <w:rPr>
                <w:sz w:val="20"/>
                <w:szCs w:val="20"/>
              </w:rPr>
            </w:pPr>
            <w:r>
              <w:rPr>
                <w:sz w:val="20"/>
                <w:szCs w:val="20"/>
              </w:rPr>
              <w:t>UG EE reports – summary to UEC</w:t>
            </w:r>
          </w:p>
          <w:p w:rsidR="0007467C" w:rsidRDefault="0007467C" w:rsidP="008344A4">
            <w:pPr>
              <w:rPr>
                <w:sz w:val="20"/>
                <w:szCs w:val="20"/>
              </w:rPr>
            </w:pPr>
            <w:r>
              <w:rPr>
                <w:sz w:val="20"/>
                <w:szCs w:val="20"/>
              </w:rPr>
              <w:t>PG External Examiner reports</w:t>
            </w:r>
          </w:p>
          <w:p w:rsidR="0007467C" w:rsidRPr="0007467C" w:rsidRDefault="0007467C" w:rsidP="008344A4">
            <w:pPr>
              <w:rPr>
                <w:sz w:val="20"/>
                <w:szCs w:val="20"/>
              </w:rPr>
            </w:pPr>
            <w:r>
              <w:rPr>
                <w:sz w:val="20"/>
                <w:szCs w:val="20"/>
              </w:rPr>
              <w:t>PG EE reports – summary to UEC</w:t>
            </w:r>
          </w:p>
          <w:p w:rsidR="0007467C" w:rsidRPr="0007467C" w:rsidRDefault="0007467C" w:rsidP="008344A4">
            <w:pPr>
              <w:rPr>
                <w:sz w:val="20"/>
                <w:szCs w:val="20"/>
              </w:rPr>
            </w:pPr>
            <w:r w:rsidRPr="0007467C">
              <w:rPr>
                <w:sz w:val="20"/>
                <w:szCs w:val="20"/>
              </w:rPr>
              <w:t>Reports from professional bodies (PSRBs)</w:t>
            </w:r>
          </w:p>
          <w:p w:rsidR="0007467C" w:rsidRDefault="0007467C" w:rsidP="008344A4">
            <w:pPr>
              <w:rPr>
                <w:sz w:val="20"/>
                <w:szCs w:val="20"/>
              </w:rPr>
            </w:pPr>
            <w:r w:rsidRPr="0007467C">
              <w:rPr>
                <w:sz w:val="20"/>
                <w:szCs w:val="20"/>
              </w:rPr>
              <w:t>Feedback from employers and placement providers</w:t>
            </w:r>
          </w:p>
          <w:p w:rsidR="00B61532" w:rsidRPr="0007467C" w:rsidRDefault="00B61532" w:rsidP="008344A4">
            <w:pPr>
              <w:rPr>
                <w:sz w:val="20"/>
                <w:szCs w:val="20"/>
              </w:rPr>
            </w:pPr>
          </w:p>
        </w:tc>
        <w:tc>
          <w:tcPr>
            <w:tcW w:w="2618" w:type="dxa"/>
          </w:tcPr>
          <w:p w:rsidR="0007467C" w:rsidRPr="00B61532" w:rsidRDefault="0007467C" w:rsidP="008344A4">
            <w:pPr>
              <w:rPr>
                <w:sz w:val="20"/>
                <w:szCs w:val="20"/>
              </w:rPr>
            </w:pPr>
            <w:r w:rsidRPr="00B61532">
              <w:rPr>
                <w:sz w:val="20"/>
                <w:szCs w:val="20"/>
              </w:rPr>
              <w:t>ADQE/Schools</w:t>
            </w:r>
          </w:p>
          <w:p w:rsidR="0007467C" w:rsidRPr="00B61532" w:rsidRDefault="0007467C" w:rsidP="008344A4">
            <w:pPr>
              <w:rPr>
                <w:sz w:val="20"/>
                <w:szCs w:val="20"/>
              </w:rPr>
            </w:pPr>
            <w:r w:rsidRPr="00B61532">
              <w:rPr>
                <w:sz w:val="20"/>
                <w:szCs w:val="20"/>
              </w:rPr>
              <w:t>ADQE</w:t>
            </w:r>
          </w:p>
          <w:p w:rsidR="0007467C" w:rsidRPr="00B61532" w:rsidRDefault="0007467C" w:rsidP="008344A4">
            <w:pPr>
              <w:rPr>
                <w:sz w:val="20"/>
                <w:szCs w:val="20"/>
              </w:rPr>
            </w:pPr>
            <w:r w:rsidRPr="00B61532">
              <w:rPr>
                <w:sz w:val="20"/>
                <w:szCs w:val="20"/>
              </w:rPr>
              <w:t>ADQE/Schools</w:t>
            </w:r>
          </w:p>
          <w:p w:rsidR="0007467C" w:rsidRPr="00B61532" w:rsidRDefault="0007467C" w:rsidP="008344A4">
            <w:pPr>
              <w:rPr>
                <w:sz w:val="20"/>
                <w:szCs w:val="20"/>
              </w:rPr>
            </w:pPr>
            <w:r w:rsidRPr="00B61532">
              <w:rPr>
                <w:sz w:val="20"/>
                <w:szCs w:val="20"/>
              </w:rPr>
              <w:t>ADQE</w:t>
            </w:r>
          </w:p>
          <w:p w:rsidR="0007467C" w:rsidRPr="00B61532" w:rsidRDefault="0007467C" w:rsidP="008344A4">
            <w:pPr>
              <w:rPr>
                <w:sz w:val="20"/>
                <w:szCs w:val="20"/>
              </w:rPr>
            </w:pPr>
            <w:r w:rsidRPr="00B61532">
              <w:rPr>
                <w:sz w:val="20"/>
                <w:szCs w:val="20"/>
              </w:rPr>
              <w:t>Schools</w:t>
            </w:r>
          </w:p>
          <w:p w:rsidR="0007467C" w:rsidRPr="00B61532" w:rsidRDefault="0007467C" w:rsidP="008344A4">
            <w:pPr>
              <w:rPr>
                <w:sz w:val="20"/>
                <w:szCs w:val="20"/>
              </w:rPr>
            </w:pPr>
          </w:p>
          <w:p w:rsidR="0007467C" w:rsidRPr="00B61532" w:rsidRDefault="0007467C" w:rsidP="008344A4">
            <w:pPr>
              <w:rPr>
                <w:sz w:val="20"/>
                <w:szCs w:val="20"/>
              </w:rPr>
            </w:pPr>
            <w:r w:rsidRPr="00B61532">
              <w:rPr>
                <w:sz w:val="20"/>
                <w:szCs w:val="20"/>
              </w:rPr>
              <w:t>Schools</w:t>
            </w:r>
          </w:p>
        </w:tc>
        <w:tc>
          <w:tcPr>
            <w:tcW w:w="1701" w:type="dxa"/>
          </w:tcPr>
          <w:p w:rsidR="0007467C" w:rsidRPr="000C0F5F" w:rsidRDefault="0007467C" w:rsidP="008344A4">
            <w:pPr>
              <w:rPr>
                <w:sz w:val="20"/>
                <w:szCs w:val="20"/>
              </w:rPr>
            </w:pPr>
            <w:r w:rsidRPr="000C0F5F">
              <w:rPr>
                <w:sz w:val="20"/>
                <w:szCs w:val="20"/>
              </w:rPr>
              <w:t>September 2019</w:t>
            </w:r>
          </w:p>
          <w:p w:rsidR="0007467C" w:rsidRPr="000C0F5F" w:rsidRDefault="0007467C" w:rsidP="008344A4">
            <w:pPr>
              <w:rPr>
                <w:sz w:val="20"/>
                <w:szCs w:val="20"/>
              </w:rPr>
            </w:pPr>
            <w:r w:rsidRPr="000C0F5F">
              <w:rPr>
                <w:sz w:val="20"/>
                <w:szCs w:val="20"/>
              </w:rPr>
              <w:t>October 2019</w:t>
            </w:r>
          </w:p>
          <w:p w:rsidR="0007467C" w:rsidRPr="000C0F5F" w:rsidRDefault="0007467C" w:rsidP="008344A4">
            <w:pPr>
              <w:rPr>
                <w:sz w:val="20"/>
                <w:szCs w:val="20"/>
              </w:rPr>
            </w:pPr>
            <w:r w:rsidRPr="000C0F5F">
              <w:rPr>
                <w:sz w:val="20"/>
                <w:szCs w:val="20"/>
              </w:rPr>
              <w:t>December 2019</w:t>
            </w:r>
          </w:p>
          <w:p w:rsidR="0007467C" w:rsidRPr="000C0F5F" w:rsidRDefault="0007467C" w:rsidP="008344A4">
            <w:pPr>
              <w:rPr>
                <w:sz w:val="20"/>
                <w:szCs w:val="20"/>
              </w:rPr>
            </w:pPr>
            <w:r w:rsidRPr="000C0F5F">
              <w:rPr>
                <w:sz w:val="20"/>
                <w:szCs w:val="20"/>
              </w:rPr>
              <w:t>January 2020</w:t>
            </w:r>
          </w:p>
        </w:tc>
      </w:tr>
      <w:tr w:rsidR="0007467C" w:rsidRPr="0007467C" w:rsidTr="0007467C">
        <w:tc>
          <w:tcPr>
            <w:tcW w:w="1418" w:type="dxa"/>
          </w:tcPr>
          <w:p w:rsidR="0007467C" w:rsidRPr="0007467C" w:rsidRDefault="0007467C" w:rsidP="00CB4C37">
            <w:pPr>
              <w:rPr>
                <w:sz w:val="20"/>
                <w:szCs w:val="20"/>
              </w:rPr>
            </w:pPr>
            <w:r w:rsidRPr="0007467C">
              <w:rPr>
                <w:sz w:val="20"/>
                <w:szCs w:val="20"/>
              </w:rPr>
              <w:t>Internal feedback</w:t>
            </w:r>
          </w:p>
        </w:tc>
        <w:tc>
          <w:tcPr>
            <w:tcW w:w="3619" w:type="dxa"/>
          </w:tcPr>
          <w:p w:rsidR="0007467C" w:rsidRPr="0007467C" w:rsidRDefault="0007467C" w:rsidP="008344A4">
            <w:pPr>
              <w:rPr>
                <w:sz w:val="20"/>
                <w:szCs w:val="20"/>
              </w:rPr>
            </w:pPr>
            <w:r w:rsidRPr="0007467C">
              <w:rPr>
                <w:sz w:val="20"/>
                <w:szCs w:val="20"/>
              </w:rPr>
              <w:t>The reflections of Sussex staff</w:t>
            </w:r>
          </w:p>
          <w:p w:rsidR="0007467C" w:rsidRPr="0007467C" w:rsidRDefault="0007467C" w:rsidP="008344A4">
            <w:pPr>
              <w:rPr>
                <w:sz w:val="20"/>
                <w:szCs w:val="20"/>
              </w:rPr>
            </w:pPr>
            <w:r w:rsidRPr="0007467C">
              <w:rPr>
                <w:sz w:val="20"/>
                <w:szCs w:val="20"/>
              </w:rPr>
              <w:t>Recommendations from validations, accreditations or periodic review (where these have taken place in the year under review)</w:t>
            </w:r>
          </w:p>
          <w:p w:rsidR="0007467C" w:rsidRPr="0007467C" w:rsidRDefault="0007467C" w:rsidP="008344A4">
            <w:pPr>
              <w:rPr>
                <w:sz w:val="20"/>
                <w:szCs w:val="20"/>
              </w:rPr>
            </w:pPr>
            <w:r w:rsidRPr="0007467C">
              <w:rPr>
                <w:sz w:val="20"/>
                <w:szCs w:val="20"/>
              </w:rPr>
              <w:t>Peer observations</w:t>
            </w:r>
          </w:p>
          <w:p w:rsidR="0007467C" w:rsidRPr="0007467C" w:rsidRDefault="0007467C" w:rsidP="008344A4">
            <w:pPr>
              <w:rPr>
                <w:sz w:val="20"/>
                <w:szCs w:val="20"/>
              </w:rPr>
            </w:pPr>
          </w:p>
        </w:tc>
        <w:tc>
          <w:tcPr>
            <w:tcW w:w="2618" w:type="dxa"/>
          </w:tcPr>
          <w:p w:rsidR="0007467C" w:rsidRPr="0007467C" w:rsidRDefault="0007467C" w:rsidP="008344A4">
            <w:pPr>
              <w:rPr>
                <w:sz w:val="20"/>
                <w:szCs w:val="20"/>
                <w:highlight w:val="yellow"/>
              </w:rPr>
            </w:pPr>
          </w:p>
        </w:tc>
        <w:tc>
          <w:tcPr>
            <w:tcW w:w="1701" w:type="dxa"/>
          </w:tcPr>
          <w:p w:rsidR="0007467C" w:rsidRPr="0007467C" w:rsidRDefault="0007467C" w:rsidP="008344A4">
            <w:pPr>
              <w:rPr>
                <w:sz w:val="20"/>
                <w:szCs w:val="20"/>
                <w:highlight w:val="yellow"/>
              </w:rPr>
            </w:pPr>
          </w:p>
        </w:tc>
      </w:tr>
    </w:tbl>
    <w:p w:rsidR="008344A4" w:rsidRDefault="008344A4" w:rsidP="008344A4"/>
    <w:p w:rsidR="000D25D0" w:rsidRPr="008B5E1C" w:rsidRDefault="008F70BC" w:rsidP="008B5E1C">
      <w:pPr>
        <w:rPr>
          <w:b/>
        </w:rPr>
      </w:pPr>
      <w:r w:rsidRPr="008B5E1C">
        <w:rPr>
          <w:b/>
        </w:rPr>
        <w:t>Stages in the ACR</w:t>
      </w:r>
    </w:p>
    <w:p w:rsidR="008B5E1C" w:rsidRDefault="008B5E1C" w:rsidP="008B5E1C">
      <w:pPr>
        <w:rPr>
          <w:b/>
        </w:rPr>
      </w:pPr>
    </w:p>
    <w:p w:rsidR="008F70BC" w:rsidRDefault="008F70BC" w:rsidP="008B5E1C">
      <w:pPr>
        <w:pStyle w:val="ListParagraph"/>
        <w:numPr>
          <w:ilvl w:val="0"/>
          <w:numId w:val="17"/>
        </w:numPr>
      </w:pPr>
      <w:r>
        <w:t>The following are the key stages in the ACR process presented chronologically:</w:t>
      </w:r>
    </w:p>
    <w:p w:rsidR="008F70BC" w:rsidRDefault="008F70BC" w:rsidP="008F70BC"/>
    <w:p w:rsidR="008F70BC" w:rsidRDefault="008F70BC" w:rsidP="008F70BC">
      <w:pPr>
        <w:pStyle w:val="ListParagraph"/>
        <w:numPr>
          <w:ilvl w:val="0"/>
          <w:numId w:val="12"/>
        </w:numPr>
      </w:pPr>
      <w:r>
        <w:t>Schools to confirm arrangements for ACR (September);</w:t>
      </w:r>
    </w:p>
    <w:p w:rsidR="008F70BC" w:rsidRDefault="008F70BC" w:rsidP="008F70BC">
      <w:pPr>
        <w:pStyle w:val="ListParagraph"/>
        <w:numPr>
          <w:ilvl w:val="0"/>
          <w:numId w:val="12"/>
        </w:numPr>
      </w:pPr>
      <w:r>
        <w:t>On-going collection of evidence, record of issues and action taken (all year activity);</w:t>
      </w:r>
    </w:p>
    <w:p w:rsidR="008F70BC" w:rsidRDefault="008F70BC" w:rsidP="008F70BC">
      <w:pPr>
        <w:pStyle w:val="ListParagraph"/>
        <w:numPr>
          <w:ilvl w:val="0"/>
          <w:numId w:val="12"/>
        </w:numPr>
      </w:pPr>
      <w:r>
        <w:t>ADQE circulate report templates and guidance notes for completion;</w:t>
      </w:r>
      <w:r w:rsidR="001A64BA">
        <w:t xml:space="preserve"> (September)</w:t>
      </w:r>
    </w:p>
    <w:p w:rsidR="001A64BA" w:rsidRDefault="001A64BA" w:rsidP="008F70BC">
      <w:pPr>
        <w:pStyle w:val="ListParagraph"/>
        <w:numPr>
          <w:ilvl w:val="0"/>
          <w:numId w:val="12"/>
        </w:numPr>
      </w:pPr>
      <w:r>
        <w:t>Board</w:t>
      </w:r>
      <w:r w:rsidR="00B61532">
        <w:t>s</w:t>
      </w:r>
      <w:r>
        <w:t xml:space="preserve"> of Study consider the ACR</w:t>
      </w:r>
      <w:r w:rsidR="00B61532">
        <w:t xml:space="preserve"> (Semester 1)</w:t>
      </w:r>
    </w:p>
    <w:p w:rsidR="008F70BC" w:rsidRDefault="008F70BC" w:rsidP="008F70BC">
      <w:pPr>
        <w:pStyle w:val="ListParagraph"/>
        <w:numPr>
          <w:ilvl w:val="0"/>
          <w:numId w:val="12"/>
        </w:numPr>
      </w:pPr>
      <w:r>
        <w:t>Reports completed and submitted to School (</w:t>
      </w:r>
      <w:r w:rsidR="00B61532">
        <w:t>via the CAO</w:t>
      </w:r>
      <w:r>
        <w:t>)</w:t>
      </w:r>
      <w:r w:rsidR="001A64BA">
        <w:t xml:space="preserve"> (</w:t>
      </w:r>
      <w:r w:rsidR="00B61532">
        <w:t>Semester</w:t>
      </w:r>
      <w:r w:rsidR="001A64BA">
        <w:t xml:space="preserve"> 1)</w:t>
      </w:r>
    </w:p>
    <w:p w:rsidR="008F70BC" w:rsidRDefault="008F70BC" w:rsidP="008F70BC">
      <w:pPr>
        <w:pStyle w:val="ListParagraph"/>
        <w:numPr>
          <w:ilvl w:val="0"/>
          <w:numId w:val="12"/>
        </w:numPr>
      </w:pPr>
      <w:r>
        <w:t>Reports considered by the School Teaching and Learning Committee (STLC)</w:t>
      </w:r>
      <w:r w:rsidR="001A64BA">
        <w:t xml:space="preserve"> (</w:t>
      </w:r>
      <w:r w:rsidR="00B61532">
        <w:t>Semester</w:t>
      </w:r>
      <w:r w:rsidR="001A64BA">
        <w:t xml:space="preserve"> 1)</w:t>
      </w:r>
    </w:p>
    <w:p w:rsidR="008F70BC" w:rsidRDefault="008F70BC" w:rsidP="008F70BC">
      <w:pPr>
        <w:pStyle w:val="ListParagraph"/>
        <w:numPr>
          <w:ilvl w:val="0"/>
          <w:numId w:val="12"/>
        </w:numPr>
      </w:pPr>
      <w:r>
        <w:t>Directors of Learning and Teaching prepare School level summary report;</w:t>
      </w:r>
      <w:r w:rsidR="001A64BA">
        <w:t xml:space="preserve"> (</w:t>
      </w:r>
      <w:r w:rsidR="00B61532">
        <w:t>Semester</w:t>
      </w:r>
      <w:r w:rsidR="001A64BA">
        <w:t xml:space="preserve"> 2)</w:t>
      </w:r>
    </w:p>
    <w:p w:rsidR="008F70BC" w:rsidRDefault="001A64BA" w:rsidP="008F70BC">
      <w:pPr>
        <w:pStyle w:val="ListParagraph"/>
        <w:numPr>
          <w:ilvl w:val="0"/>
          <w:numId w:val="12"/>
        </w:numPr>
      </w:pPr>
      <w:r>
        <w:t xml:space="preserve">Completed ACRs and </w:t>
      </w:r>
      <w:r w:rsidR="008F70BC">
        <w:t xml:space="preserve">School </w:t>
      </w:r>
      <w:r>
        <w:t xml:space="preserve">level </w:t>
      </w:r>
      <w:r w:rsidR="008F70BC">
        <w:t>summary reports submitted to ADQE</w:t>
      </w:r>
      <w:r>
        <w:t xml:space="preserve"> (</w:t>
      </w:r>
      <w:r w:rsidR="00B61532">
        <w:t>Semester</w:t>
      </w:r>
      <w:r>
        <w:t xml:space="preserve"> 2)</w:t>
      </w:r>
    </w:p>
    <w:p w:rsidR="008F70BC" w:rsidRDefault="001A64BA" w:rsidP="008F70BC">
      <w:pPr>
        <w:pStyle w:val="ListParagraph"/>
        <w:numPr>
          <w:ilvl w:val="0"/>
          <w:numId w:val="12"/>
        </w:numPr>
      </w:pPr>
      <w:r>
        <w:t>ADQE organise Annual Enhancement event (February)</w:t>
      </w:r>
    </w:p>
    <w:p w:rsidR="001A64BA" w:rsidRPr="008F70BC" w:rsidRDefault="001A64BA" w:rsidP="008F70BC">
      <w:pPr>
        <w:pStyle w:val="ListParagraph"/>
        <w:numPr>
          <w:ilvl w:val="0"/>
          <w:numId w:val="12"/>
        </w:numPr>
      </w:pPr>
      <w:r>
        <w:t>Preparation by ADQE of an overview report for UEC (February).</w:t>
      </w:r>
    </w:p>
    <w:p w:rsidR="001A64BA" w:rsidRDefault="001A64BA" w:rsidP="001A64BA">
      <w:pPr>
        <w:rPr>
          <w:b/>
        </w:rPr>
      </w:pPr>
    </w:p>
    <w:p w:rsidR="001A64BA" w:rsidRPr="008B5E1C" w:rsidRDefault="001A64BA" w:rsidP="008B5E1C">
      <w:pPr>
        <w:rPr>
          <w:b/>
        </w:rPr>
      </w:pPr>
      <w:r w:rsidRPr="008B5E1C">
        <w:rPr>
          <w:b/>
        </w:rPr>
        <w:t>Completing the ACR</w:t>
      </w:r>
    </w:p>
    <w:p w:rsidR="001A64BA" w:rsidRDefault="001A64BA" w:rsidP="001A64BA"/>
    <w:p w:rsidR="00B61532" w:rsidRDefault="001A64BA" w:rsidP="00B61532">
      <w:pPr>
        <w:pStyle w:val="ListParagraph"/>
        <w:numPr>
          <w:ilvl w:val="0"/>
          <w:numId w:val="17"/>
        </w:numPr>
      </w:pPr>
      <w:r>
        <w:t>The ACR templat</w:t>
      </w:r>
      <w:r w:rsidR="00B61532">
        <w:t>e can be found on the ADQE site:</w:t>
      </w:r>
    </w:p>
    <w:p w:rsidR="00B61532" w:rsidRDefault="000C0F5F" w:rsidP="00B61532">
      <w:pPr>
        <w:pStyle w:val="ListParagraph"/>
        <w:ind w:left="680"/>
      </w:pPr>
      <w:hyperlink r:id="rId11" w:history="1">
        <w:r w:rsidR="00B61532" w:rsidRPr="00F5697B">
          <w:rPr>
            <w:rStyle w:val="Hyperlink"/>
          </w:rPr>
          <w:t>http://www.sussex.ac.uk/adqe/enhancement/annualcoursereview</w:t>
        </w:r>
      </w:hyperlink>
      <w:r w:rsidR="00B61532">
        <w:t xml:space="preserve"> </w:t>
      </w:r>
    </w:p>
    <w:p w:rsidR="00B61532" w:rsidRDefault="00B61532" w:rsidP="00B61532">
      <w:pPr>
        <w:pStyle w:val="ListParagraph"/>
        <w:ind w:left="680"/>
      </w:pPr>
    </w:p>
    <w:p w:rsidR="001A64BA" w:rsidRDefault="001A64BA" w:rsidP="008B5E1C">
      <w:pPr>
        <w:pStyle w:val="ListParagraph"/>
        <w:numPr>
          <w:ilvl w:val="0"/>
          <w:numId w:val="17"/>
        </w:numPr>
      </w:pPr>
      <w:r>
        <w:t>Authors should complete all sections of the ACR template.  This includes:</w:t>
      </w:r>
    </w:p>
    <w:p w:rsidR="001A64BA" w:rsidRDefault="001A64BA" w:rsidP="001A64BA">
      <w:pPr>
        <w:pStyle w:val="ListParagraph"/>
      </w:pPr>
    </w:p>
    <w:p w:rsidR="005D313C" w:rsidRDefault="005D313C" w:rsidP="001A64BA">
      <w:pPr>
        <w:pStyle w:val="ListParagraph"/>
        <w:numPr>
          <w:ilvl w:val="0"/>
          <w:numId w:val="13"/>
        </w:numPr>
      </w:pPr>
      <w:r>
        <w:t xml:space="preserve">A list of all the </w:t>
      </w:r>
      <w:r w:rsidR="00B61532">
        <w:t>courses</w:t>
      </w:r>
      <w:r>
        <w:t xml:space="preserve"> considered within the report;</w:t>
      </w:r>
    </w:p>
    <w:p w:rsidR="001A64BA" w:rsidRDefault="001A64BA" w:rsidP="001A64BA">
      <w:pPr>
        <w:pStyle w:val="ListParagraph"/>
        <w:numPr>
          <w:ilvl w:val="0"/>
          <w:numId w:val="13"/>
        </w:numPr>
      </w:pPr>
      <w:r>
        <w:t>A reflection on the progress of the actions contained in the previous year’s report;</w:t>
      </w:r>
    </w:p>
    <w:p w:rsidR="001A64BA" w:rsidRDefault="001A64BA" w:rsidP="001A64BA">
      <w:pPr>
        <w:pStyle w:val="ListParagraph"/>
        <w:numPr>
          <w:ilvl w:val="0"/>
          <w:numId w:val="13"/>
        </w:numPr>
      </w:pPr>
      <w:r>
        <w:t>A commentary on the performance of the course during the last academic year, drawing on the available data and evidence (see 5.1 above);</w:t>
      </w:r>
    </w:p>
    <w:p w:rsidR="005D313C" w:rsidRDefault="001A64BA" w:rsidP="005D313C">
      <w:pPr>
        <w:pStyle w:val="ListParagraph"/>
        <w:numPr>
          <w:ilvl w:val="0"/>
          <w:numId w:val="13"/>
        </w:numPr>
      </w:pPr>
      <w:r>
        <w:t>An analysis of the key themes and issues emerging from student feedback</w:t>
      </w:r>
    </w:p>
    <w:p w:rsidR="005D313C" w:rsidRDefault="005D313C" w:rsidP="005D313C">
      <w:pPr>
        <w:pStyle w:val="ListParagraph"/>
        <w:numPr>
          <w:ilvl w:val="0"/>
          <w:numId w:val="13"/>
        </w:numPr>
      </w:pPr>
      <w:r>
        <w:t>The identification of any issues or risks</w:t>
      </w:r>
    </w:p>
    <w:p w:rsidR="005D313C" w:rsidRDefault="005D313C" w:rsidP="005D313C">
      <w:pPr>
        <w:pStyle w:val="ListParagraph"/>
        <w:numPr>
          <w:ilvl w:val="0"/>
          <w:numId w:val="13"/>
        </w:numPr>
      </w:pPr>
      <w:r>
        <w:t>The identification of areas of good practice</w:t>
      </w:r>
      <w:r w:rsidR="004B72ED">
        <w:t xml:space="preserve"> or enhancements</w:t>
      </w:r>
    </w:p>
    <w:p w:rsidR="005D313C" w:rsidRDefault="005D313C" w:rsidP="005D313C">
      <w:pPr>
        <w:pStyle w:val="ListParagraph"/>
        <w:numPr>
          <w:ilvl w:val="0"/>
          <w:numId w:val="13"/>
        </w:numPr>
      </w:pPr>
      <w:r>
        <w:t xml:space="preserve">A summary action plan </w:t>
      </w:r>
    </w:p>
    <w:p w:rsidR="005D313C" w:rsidRDefault="005D313C" w:rsidP="005D313C">
      <w:pPr>
        <w:pStyle w:val="ListParagraph"/>
        <w:numPr>
          <w:ilvl w:val="0"/>
          <w:numId w:val="13"/>
        </w:numPr>
      </w:pPr>
      <w:r>
        <w:t xml:space="preserve">A summary of any planned changes to </w:t>
      </w:r>
      <w:r w:rsidR="004B72ED">
        <w:t xml:space="preserve">be </w:t>
      </w:r>
      <w:r>
        <w:t>implemented as a result of the review</w:t>
      </w:r>
    </w:p>
    <w:p w:rsidR="005D313C" w:rsidRDefault="005D313C" w:rsidP="005D313C">
      <w:pPr>
        <w:pStyle w:val="ListParagraph"/>
        <w:numPr>
          <w:ilvl w:val="0"/>
          <w:numId w:val="13"/>
        </w:numPr>
      </w:pPr>
      <w:r>
        <w:lastRenderedPageBreak/>
        <w:t>Any issues or recommendations to the STLC or UEC about issues that should be followed up at either School level or institutional level (e.g. in areas related to academic policy or procedures, regulations or staff development).</w:t>
      </w:r>
    </w:p>
    <w:p w:rsidR="004B72ED" w:rsidRDefault="004B72ED" w:rsidP="004B72ED"/>
    <w:p w:rsidR="004B72ED" w:rsidRDefault="004B72ED" w:rsidP="00B61532">
      <w:pPr>
        <w:pStyle w:val="ListParagraph"/>
        <w:numPr>
          <w:ilvl w:val="0"/>
          <w:numId w:val="17"/>
        </w:numPr>
      </w:pPr>
      <w:r>
        <w:t xml:space="preserve">If the ACR contains actions that involve modifications to either courses or their constituent modules, these will require formal approval by the STLC, in line with the </w:t>
      </w:r>
      <w:proofErr w:type="gramStart"/>
      <w:r>
        <w:t>University’s</w:t>
      </w:r>
      <w:proofErr w:type="gramEnd"/>
      <w:r>
        <w:t xml:space="preserve"> published processes for </w:t>
      </w:r>
      <w:hyperlink r:id="rId12" w:history="1">
        <w:r w:rsidRPr="004B72ED">
          <w:rPr>
            <w:rStyle w:val="Hyperlink"/>
          </w:rPr>
          <w:t>curriculum development</w:t>
        </w:r>
      </w:hyperlink>
      <w:r>
        <w:t xml:space="preserve">.  Teams proposing modifications should be aware that there are strict time limits in which modifications can be made (to ensure compliance with consumer law) that might mean that changes </w:t>
      </w:r>
      <w:proofErr w:type="gramStart"/>
      <w:r>
        <w:t>cannot be implemented</w:t>
      </w:r>
      <w:proofErr w:type="gramEnd"/>
      <w:r>
        <w:t xml:space="preserve"> immediately.  </w:t>
      </w:r>
    </w:p>
    <w:p w:rsidR="00D77A05" w:rsidRDefault="00D77A05" w:rsidP="00D77A05"/>
    <w:p w:rsidR="00D77A05" w:rsidRDefault="00D77A05" w:rsidP="008B5E1C">
      <w:pPr>
        <w:pStyle w:val="ListParagraph"/>
        <w:numPr>
          <w:ilvl w:val="0"/>
          <w:numId w:val="17"/>
        </w:numPr>
      </w:pPr>
      <w:r>
        <w:t>ACRs are submitted to the School Teaching and Learning Committee (STLC).</w:t>
      </w:r>
    </w:p>
    <w:p w:rsidR="005D313C" w:rsidRDefault="005D313C" w:rsidP="005D313C"/>
    <w:p w:rsidR="005D313C" w:rsidRPr="008B5E1C" w:rsidRDefault="005D313C" w:rsidP="008B5E1C">
      <w:pPr>
        <w:rPr>
          <w:b/>
        </w:rPr>
      </w:pPr>
      <w:r w:rsidRPr="008B5E1C">
        <w:rPr>
          <w:b/>
        </w:rPr>
        <w:t>Completing the School level summary report</w:t>
      </w:r>
    </w:p>
    <w:p w:rsidR="005D313C" w:rsidRDefault="005D313C" w:rsidP="005D313C"/>
    <w:p w:rsidR="00B61532" w:rsidRDefault="00D77A05" w:rsidP="008B5E1C">
      <w:pPr>
        <w:pStyle w:val="ListParagraph"/>
        <w:numPr>
          <w:ilvl w:val="0"/>
          <w:numId w:val="17"/>
        </w:numPr>
      </w:pPr>
      <w:r>
        <w:t>The School level summary report template can be found on the ADQE site</w:t>
      </w:r>
      <w:r w:rsidR="00B61532">
        <w:t>:</w:t>
      </w:r>
    </w:p>
    <w:p w:rsidR="00D77A05" w:rsidRDefault="000C0F5F" w:rsidP="00B61532">
      <w:pPr>
        <w:ind w:left="680"/>
      </w:pPr>
      <w:hyperlink r:id="rId13" w:history="1">
        <w:r w:rsidR="00B61532" w:rsidRPr="00F5697B">
          <w:rPr>
            <w:rStyle w:val="Hyperlink"/>
          </w:rPr>
          <w:t>http://www.sussex.ac.uk/adqe/enhancement/annualcoursereview</w:t>
        </w:r>
      </w:hyperlink>
      <w:r w:rsidR="00B61532">
        <w:t>.</w:t>
      </w:r>
    </w:p>
    <w:p w:rsidR="00B61532" w:rsidRDefault="00B61532" w:rsidP="00B61532">
      <w:pPr>
        <w:ind w:left="680"/>
      </w:pPr>
    </w:p>
    <w:p w:rsidR="005D313C" w:rsidRDefault="005D313C" w:rsidP="008B5E1C">
      <w:pPr>
        <w:pStyle w:val="ListParagraph"/>
        <w:numPr>
          <w:ilvl w:val="0"/>
          <w:numId w:val="17"/>
        </w:numPr>
      </w:pPr>
      <w:r>
        <w:t>This report is completed by the DTL and should normally:</w:t>
      </w:r>
    </w:p>
    <w:p w:rsidR="005D313C" w:rsidRDefault="005D313C" w:rsidP="005D313C"/>
    <w:p w:rsidR="005D313C" w:rsidRDefault="005D313C" w:rsidP="005D313C">
      <w:pPr>
        <w:pStyle w:val="ListParagraph"/>
        <w:numPr>
          <w:ilvl w:val="0"/>
          <w:numId w:val="14"/>
        </w:numPr>
      </w:pPr>
      <w:r>
        <w:t xml:space="preserve">List all the </w:t>
      </w:r>
      <w:r w:rsidR="00B61532">
        <w:t>courses</w:t>
      </w:r>
      <w:r>
        <w:t xml:space="preserve"> considered as part of the ACR, and any reports not received or found to be unsatisfactory;</w:t>
      </w:r>
    </w:p>
    <w:p w:rsidR="005D313C" w:rsidRDefault="005D313C" w:rsidP="005D313C">
      <w:pPr>
        <w:pStyle w:val="ListParagraph"/>
        <w:numPr>
          <w:ilvl w:val="0"/>
          <w:numId w:val="14"/>
        </w:numPr>
      </w:pPr>
      <w:r>
        <w:t>Summarise the key findings of the reports considered (for example as they relate to curricular issues, teaching and learning, student achievement, resources etc.);</w:t>
      </w:r>
    </w:p>
    <w:p w:rsidR="005D313C" w:rsidRDefault="005D313C" w:rsidP="005D313C">
      <w:pPr>
        <w:pStyle w:val="ListParagraph"/>
        <w:numPr>
          <w:ilvl w:val="0"/>
          <w:numId w:val="14"/>
        </w:numPr>
      </w:pPr>
      <w:r>
        <w:t>Comment on any trends apparent from the data;</w:t>
      </w:r>
    </w:p>
    <w:p w:rsidR="004B72ED" w:rsidRDefault="004B72ED" w:rsidP="005D313C">
      <w:pPr>
        <w:pStyle w:val="ListParagraph"/>
        <w:numPr>
          <w:ilvl w:val="0"/>
          <w:numId w:val="14"/>
        </w:numPr>
      </w:pPr>
      <w:r>
        <w:t>Identify common themes, including issues and risks that may require resolution at the School level</w:t>
      </w:r>
    </w:p>
    <w:p w:rsidR="005D313C" w:rsidRDefault="005D313C" w:rsidP="005D313C">
      <w:pPr>
        <w:pStyle w:val="ListParagraph"/>
        <w:numPr>
          <w:ilvl w:val="0"/>
          <w:numId w:val="14"/>
        </w:numPr>
      </w:pPr>
      <w:r>
        <w:t>Comment on the extent to which action plans from the previous year have been met;</w:t>
      </w:r>
    </w:p>
    <w:p w:rsidR="005D313C" w:rsidRDefault="005D313C" w:rsidP="005D313C">
      <w:pPr>
        <w:pStyle w:val="ListParagraph"/>
        <w:numPr>
          <w:ilvl w:val="0"/>
          <w:numId w:val="14"/>
        </w:numPr>
      </w:pPr>
      <w:r>
        <w:t xml:space="preserve">Note any areas </w:t>
      </w:r>
      <w:r w:rsidR="004B72ED">
        <w:t xml:space="preserve">of good practice </w:t>
      </w:r>
      <w:r w:rsidR="00D77A05">
        <w:t>that can be shared;</w:t>
      </w:r>
    </w:p>
    <w:p w:rsidR="004B72ED" w:rsidRDefault="00D77A05" w:rsidP="005D313C">
      <w:pPr>
        <w:pStyle w:val="ListParagraph"/>
        <w:numPr>
          <w:ilvl w:val="0"/>
          <w:numId w:val="14"/>
        </w:numPr>
      </w:pPr>
      <w:r>
        <w:t>Identify recurrent or systemic issues that require notification to other University committees.</w:t>
      </w:r>
    </w:p>
    <w:p w:rsidR="00D77A05" w:rsidRDefault="00D77A05" w:rsidP="00D77A05"/>
    <w:p w:rsidR="00D77A05" w:rsidRDefault="00D77A05" w:rsidP="008B5E1C">
      <w:pPr>
        <w:pStyle w:val="ListParagraph"/>
        <w:numPr>
          <w:ilvl w:val="0"/>
          <w:numId w:val="17"/>
        </w:numPr>
      </w:pPr>
      <w:r>
        <w:t>Upon completion, the School level summary report and the individual ACRs from the School are submitted to ADQE.  This paperwork forms the basis for the Annual Enhancement Event.</w:t>
      </w:r>
    </w:p>
    <w:p w:rsidR="005D313C" w:rsidRDefault="005D313C" w:rsidP="005D313C"/>
    <w:p w:rsidR="00F27859" w:rsidRDefault="00F27859" w:rsidP="008B5E1C">
      <w:pPr>
        <w:rPr>
          <w:b/>
        </w:rPr>
      </w:pPr>
      <w:r w:rsidRPr="008B5E1C">
        <w:rPr>
          <w:b/>
        </w:rPr>
        <w:t xml:space="preserve">Annual Enhancement Event </w:t>
      </w:r>
      <w:r w:rsidR="002F027C">
        <w:rPr>
          <w:b/>
        </w:rPr>
        <w:t>(AEE)</w:t>
      </w:r>
    </w:p>
    <w:p w:rsidR="0007467C" w:rsidRDefault="0007467C" w:rsidP="008B5E1C">
      <w:pPr>
        <w:rPr>
          <w:b/>
        </w:rPr>
      </w:pPr>
    </w:p>
    <w:p w:rsidR="0007467C" w:rsidRDefault="002F027C" w:rsidP="0007467C">
      <w:pPr>
        <w:pStyle w:val="ListParagraph"/>
        <w:numPr>
          <w:ilvl w:val="0"/>
          <w:numId w:val="17"/>
        </w:numPr>
      </w:pPr>
      <w:r>
        <w:t>The purpose of the Annual Enhancement Event is to:</w:t>
      </w:r>
    </w:p>
    <w:p w:rsidR="002F027C" w:rsidRDefault="002F027C" w:rsidP="002F027C"/>
    <w:p w:rsidR="002F027C" w:rsidRDefault="002F027C" w:rsidP="002F027C">
      <w:pPr>
        <w:pStyle w:val="ListParagraph"/>
        <w:numPr>
          <w:ilvl w:val="0"/>
          <w:numId w:val="19"/>
        </w:numPr>
      </w:pPr>
      <w:r>
        <w:t>Confirm that the ACR process has been completed satisfactorily in each School including the extent to which action plans from previous years have been met;</w:t>
      </w:r>
    </w:p>
    <w:p w:rsidR="002F027C" w:rsidRDefault="00604CAD" w:rsidP="002F027C">
      <w:pPr>
        <w:pStyle w:val="ListParagraph"/>
        <w:numPr>
          <w:ilvl w:val="0"/>
          <w:numId w:val="19"/>
        </w:numPr>
      </w:pPr>
      <w:r>
        <w:t>I</w:t>
      </w:r>
      <w:r w:rsidR="002F027C">
        <w:t>dentify good practice that can be shared</w:t>
      </w:r>
    </w:p>
    <w:p w:rsidR="002F027C" w:rsidRDefault="002F027C" w:rsidP="002F027C">
      <w:pPr>
        <w:pStyle w:val="ListParagraph"/>
        <w:numPr>
          <w:ilvl w:val="0"/>
          <w:numId w:val="19"/>
        </w:numPr>
      </w:pPr>
      <w:r>
        <w:t>Identify common themes or systemic issues, including issues and risks that may require resolution at University level.</w:t>
      </w:r>
    </w:p>
    <w:p w:rsidR="002F027C" w:rsidRDefault="002F027C" w:rsidP="002F027C"/>
    <w:p w:rsidR="002F027C" w:rsidRDefault="002F027C" w:rsidP="002F027C">
      <w:pPr>
        <w:pStyle w:val="ListParagraph"/>
        <w:numPr>
          <w:ilvl w:val="0"/>
          <w:numId w:val="17"/>
        </w:numPr>
      </w:pPr>
      <w:r>
        <w:t>Attendance at the AEE will include:</w:t>
      </w:r>
    </w:p>
    <w:p w:rsidR="002F027C" w:rsidRDefault="002F027C" w:rsidP="002F027C"/>
    <w:p w:rsidR="002F027C" w:rsidRDefault="002F027C" w:rsidP="002F027C">
      <w:pPr>
        <w:ind w:left="680"/>
      </w:pPr>
      <w:r>
        <w:t>PVC (Education and Students)</w:t>
      </w:r>
    </w:p>
    <w:p w:rsidR="002F027C" w:rsidRDefault="002F027C" w:rsidP="002F027C">
      <w:pPr>
        <w:ind w:left="680"/>
      </w:pPr>
      <w:r>
        <w:t>Director for the Student Experience</w:t>
      </w:r>
    </w:p>
    <w:p w:rsidR="002F027C" w:rsidRDefault="002F027C" w:rsidP="002F027C">
      <w:pPr>
        <w:ind w:left="680"/>
      </w:pPr>
      <w:r>
        <w:t>Associate Director, Academic Services</w:t>
      </w:r>
    </w:p>
    <w:p w:rsidR="002F027C" w:rsidRDefault="002F027C" w:rsidP="002F027C">
      <w:pPr>
        <w:ind w:left="680"/>
      </w:pPr>
      <w:r>
        <w:t>Student representatives</w:t>
      </w:r>
    </w:p>
    <w:p w:rsidR="002F027C" w:rsidRDefault="002F027C" w:rsidP="002F027C">
      <w:pPr>
        <w:ind w:left="680"/>
      </w:pPr>
      <w:r>
        <w:t>Directors of Learning and Teaching</w:t>
      </w:r>
    </w:p>
    <w:p w:rsidR="002F027C" w:rsidRDefault="002F027C" w:rsidP="002F027C">
      <w:pPr>
        <w:ind w:left="680"/>
      </w:pPr>
      <w:r>
        <w:lastRenderedPageBreak/>
        <w:t xml:space="preserve">Professional Services staff </w:t>
      </w:r>
    </w:p>
    <w:p w:rsidR="002F027C" w:rsidRDefault="002F027C" w:rsidP="002F027C">
      <w:pPr>
        <w:ind w:left="680"/>
      </w:pPr>
      <w:r>
        <w:t>ADQE staff</w:t>
      </w:r>
    </w:p>
    <w:p w:rsidR="00604CAD" w:rsidRDefault="00604CAD" w:rsidP="00604CAD"/>
    <w:p w:rsidR="002F027C" w:rsidRDefault="002F027C" w:rsidP="002F027C">
      <w:pPr>
        <w:pStyle w:val="ListParagraph"/>
        <w:numPr>
          <w:ilvl w:val="0"/>
          <w:numId w:val="17"/>
        </w:numPr>
      </w:pPr>
      <w:r>
        <w:t>The AEE will receive:</w:t>
      </w:r>
    </w:p>
    <w:p w:rsidR="002F027C" w:rsidRDefault="002F027C" w:rsidP="002F027C">
      <w:pPr>
        <w:pStyle w:val="ListParagraph"/>
        <w:ind w:left="680"/>
      </w:pPr>
    </w:p>
    <w:p w:rsidR="002F027C" w:rsidRPr="004F3173" w:rsidRDefault="002F027C" w:rsidP="002F027C">
      <w:pPr>
        <w:pStyle w:val="ListParagraph"/>
        <w:numPr>
          <w:ilvl w:val="0"/>
          <w:numId w:val="20"/>
        </w:numPr>
        <w:rPr>
          <w:rFonts w:cs="Arial"/>
        </w:rPr>
      </w:pPr>
      <w:r>
        <w:rPr>
          <w:rFonts w:cs="Arial"/>
        </w:rPr>
        <w:t>All c</w:t>
      </w:r>
      <w:r w:rsidRPr="004F3173">
        <w:rPr>
          <w:rFonts w:cs="Arial"/>
        </w:rPr>
        <w:t xml:space="preserve">ompleted templates for taught courses </w:t>
      </w:r>
    </w:p>
    <w:p w:rsidR="002F027C" w:rsidRDefault="002F027C" w:rsidP="002F027C">
      <w:pPr>
        <w:pStyle w:val="ListParagraph"/>
        <w:numPr>
          <w:ilvl w:val="0"/>
          <w:numId w:val="20"/>
        </w:numPr>
        <w:rPr>
          <w:rFonts w:cs="Arial"/>
        </w:rPr>
      </w:pPr>
      <w:r>
        <w:rPr>
          <w:rFonts w:cs="Arial"/>
        </w:rPr>
        <w:t xml:space="preserve">All </w:t>
      </w:r>
      <w:r w:rsidRPr="004F3173">
        <w:rPr>
          <w:rFonts w:cs="Arial"/>
        </w:rPr>
        <w:t xml:space="preserve">School-level </w:t>
      </w:r>
      <w:r>
        <w:rPr>
          <w:rFonts w:cs="Arial"/>
        </w:rPr>
        <w:t>summary reports</w:t>
      </w:r>
    </w:p>
    <w:p w:rsidR="002F027C" w:rsidRDefault="002F027C" w:rsidP="002F027C">
      <w:pPr>
        <w:rPr>
          <w:rFonts w:cs="Arial"/>
        </w:rPr>
      </w:pPr>
    </w:p>
    <w:p w:rsidR="002F027C" w:rsidRPr="00604CAD" w:rsidRDefault="00604CAD" w:rsidP="00604CAD">
      <w:pPr>
        <w:pStyle w:val="ListParagraph"/>
        <w:numPr>
          <w:ilvl w:val="0"/>
          <w:numId w:val="17"/>
        </w:numPr>
        <w:rPr>
          <w:rFonts w:cs="Arial"/>
        </w:rPr>
      </w:pPr>
      <w:r>
        <w:rPr>
          <w:rFonts w:cs="Arial"/>
        </w:rPr>
        <w:t>Arrangements for the half day event (to be held in week commencing 3</w:t>
      </w:r>
      <w:r w:rsidRPr="00604CAD">
        <w:rPr>
          <w:rFonts w:cs="Arial"/>
          <w:vertAlign w:val="superscript"/>
        </w:rPr>
        <w:t>rd</w:t>
      </w:r>
      <w:r>
        <w:rPr>
          <w:rFonts w:cs="Arial"/>
        </w:rPr>
        <w:t xml:space="preserve"> February 2020) will be circulated nearer to the event.</w:t>
      </w:r>
    </w:p>
    <w:p w:rsidR="00F27859" w:rsidRDefault="00F27859" w:rsidP="00F27859">
      <w:pPr>
        <w:rPr>
          <w:b/>
        </w:rPr>
      </w:pPr>
    </w:p>
    <w:p w:rsidR="00F27859" w:rsidRPr="008B5E1C" w:rsidRDefault="00F27859" w:rsidP="008B5E1C">
      <w:pPr>
        <w:rPr>
          <w:b/>
        </w:rPr>
      </w:pPr>
      <w:r w:rsidRPr="008B5E1C">
        <w:rPr>
          <w:b/>
        </w:rPr>
        <w:t>Institutional Oversight</w:t>
      </w:r>
    </w:p>
    <w:p w:rsidR="00F27859" w:rsidRPr="00F27859" w:rsidRDefault="00F27859" w:rsidP="00F27859">
      <w:pPr>
        <w:pStyle w:val="ListParagraph"/>
        <w:rPr>
          <w:b/>
        </w:rPr>
      </w:pPr>
    </w:p>
    <w:p w:rsidR="00F27859" w:rsidRDefault="00F27859" w:rsidP="008B5E1C">
      <w:pPr>
        <w:pStyle w:val="ListParagraph"/>
        <w:numPr>
          <w:ilvl w:val="0"/>
          <w:numId w:val="17"/>
        </w:numPr>
      </w:pPr>
      <w:r>
        <w:t>ADQE will prepare a summary report, following the Annual Enhancement Event that will be submitted to the spring meeting of the</w:t>
      </w:r>
      <w:r w:rsidR="0097335E">
        <w:t xml:space="preserve"> UEC</w:t>
      </w:r>
      <w:r>
        <w:t>.  The report should normally:</w:t>
      </w:r>
    </w:p>
    <w:p w:rsidR="00F27859" w:rsidRDefault="00F27859" w:rsidP="00F27859"/>
    <w:p w:rsidR="00F27859" w:rsidRDefault="00F27859" w:rsidP="00F27859">
      <w:pPr>
        <w:pStyle w:val="ListParagraph"/>
        <w:numPr>
          <w:ilvl w:val="0"/>
          <w:numId w:val="15"/>
        </w:numPr>
      </w:pPr>
      <w:r>
        <w:t>Confirm the compliance of each School with the ACR process;</w:t>
      </w:r>
    </w:p>
    <w:p w:rsidR="00F27859" w:rsidRDefault="00F27859" w:rsidP="00F27859">
      <w:pPr>
        <w:pStyle w:val="ListParagraph"/>
        <w:numPr>
          <w:ilvl w:val="0"/>
          <w:numId w:val="15"/>
        </w:numPr>
      </w:pPr>
      <w:r>
        <w:t>Summarise the key findings from the reports;</w:t>
      </w:r>
    </w:p>
    <w:p w:rsidR="00F27859" w:rsidRDefault="00F27859" w:rsidP="00F27859">
      <w:pPr>
        <w:pStyle w:val="ListParagraph"/>
        <w:numPr>
          <w:ilvl w:val="0"/>
          <w:numId w:val="15"/>
        </w:numPr>
      </w:pPr>
      <w:r>
        <w:t>Comment on any trends apparent from the consideration of the data</w:t>
      </w:r>
    </w:p>
    <w:p w:rsidR="00F27859" w:rsidRDefault="00F27859" w:rsidP="00F27859">
      <w:pPr>
        <w:pStyle w:val="ListParagraph"/>
        <w:numPr>
          <w:ilvl w:val="0"/>
          <w:numId w:val="15"/>
        </w:numPr>
      </w:pPr>
      <w:r>
        <w:t>Note any areas of good practice and innovation;</w:t>
      </w:r>
    </w:p>
    <w:p w:rsidR="00F27859" w:rsidRPr="00F27859" w:rsidRDefault="00F27859" w:rsidP="00F27859">
      <w:pPr>
        <w:pStyle w:val="ListParagraph"/>
        <w:numPr>
          <w:ilvl w:val="0"/>
          <w:numId w:val="15"/>
        </w:numPr>
      </w:pPr>
      <w:r>
        <w:t>Identify issues for UEC’s consideration emerging from the reports.</w:t>
      </w:r>
    </w:p>
    <w:p w:rsidR="0097335E" w:rsidRDefault="0097335E" w:rsidP="008B5E1C">
      <w:pPr>
        <w:rPr>
          <w:b/>
        </w:rPr>
      </w:pPr>
    </w:p>
    <w:p w:rsidR="00F27859" w:rsidRPr="008B5E1C" w:rsidRDefault="00F27859" w:rsidP="008B5E1C">
      <w:pPr>
        <w:rPr>
          <w:b/>
        </w:rPr>
      </w:pPr>
      <w:r w:rsidRPr="008B5E1C">
        <w:rPr>
          <w:b/>
        </w:rPr>
        <w:t>Compliance with QAA’s UK Quality Code</w:t>
      </w:r>
    </w:p>
    <w:p w:rsidR="00F27859" w:rsidRDefault="00F27859" w:rsidP="00F27859">
      <w:pPr>
        <w:pStyle w:val="ListParagraph"/>
        <w:ind w:left="680"/>
        <w:rPr>
          <w:b/>
        </w:rPr>
      </w:pPr>
    </w:p>
    <w:p w:rsidR="00D77A05" w:rsidRDefault="00F27859" w:rsidP="008B5E1C">
      <w:pPr>
        <w:pStyle w:val="ListParagraph"/>
        <w:numPr>
          <w:ilvl w:val="0"/>
          <w:numId w:val="17"/>
        </w:numPr>
      </w:pPr>
      <w:r>
        <w:t xml:space="preserve">Compliance with </w:t>
      </w:r>
      <w:r w:rsidRPr="00F27859">
        <w:t xml:space="preserve">the Expectations and Core practices of the UK Quality Code for Higher Education (Quality Code) will be </w:t>
      </w:r>
      <w:r>
        <w:t>monitored by UEC from time to time:</w:t>
      </w:r>
    </w:p>
    <w:p w:rsidR="00F27859" w:rsidRDefault="00F27859" w:rsidP="00F27859"/>
    <w:p w:rsidR="00F27859" w:rsidRDefault="00F27859" w:rsidP="00F27859">
      <w:pPr>
        <w:ind w:left="675"/>
      </w:pPr>
      <w:r>
        <w:rPr>
          <w:i/>
        </w:rPr>
        <w:t xml:space="preserve">Monitoring and evaluation of higher education is an essential process within providers forming a fundamental part of the academic cycle.  It can, and should, look at all aspects of the higher education experience.  All higher education providers are involved in course monitoring and review processes as these enable providers to consider how learning for students may be improved.  </w:t>
      </w:r>
      <w:r>
        <w:t>(QAA Advice and Guidance for Monitoring and Evaluation).</w:t>
      </w:r>
    </w:p>
    <w:p w:rsidR="00DE0A3A" w:rsidRDefault="00DE0A3A" w:rsidP="00F27859">
      <w:pPr>
        <w:ind w:left="675"/>
      </w:pPr>
    </w:p>
    <w:p w:rsidR="00DE0A3A" w:rsidRDefault="00DE0A3A">
      <w:r>
        <w:br w:type="page"/>
      </w:r>
    </w:p>
    <w:p w:rsidR="000C0F5F" w:rsidRDefault="000C0F5F" w:rsidP="000C0F5F">
      <w:pPr>
        <w:jc w:val="right"/>
        <w:rPr>
          <w:b/>
        </w:rPr>
      </w:pPr>
      <w:r>
        <w:rPr>
          <w:b/>
        </w:rPr>
        <w:lastRenderedPageBreak/>
        <w:t>Appendix 1</w:t>
      </w:r>
    </w:p>
    <w:p w:rsidR="000C0F5F" w:rsidRDefault="000C0F5F" w:rsidP="000C0F5F">
      <w:pPr>
        <w:jc w:val="right"/>
        <w:rPr>
          <w:b/>
        </w:rPr>
      </w:pPr>
    </w:p>
    <w:p w:rsidR="00DE0A3A" w:rsidRDefault="00DE0A3A" w:rsidP="00DE0A3A">
      <w:pPr>
        <w:rPr>
          <w:b/>
        </w:rPr>
      </w:pPr>
      <w:r>
        <w:rPr>
          <w:b/>
        </w:rPr>
        <w:t>Annual Course Review template for Taught and On-line Distance Learning courses</w:t>
      </w:r>
    </w:p>
    <w:p w:rsidR="00DE0A3A" w:rsidRDefault="00DE0A3A" w:rsidP="00DE0A3A">
      <w:pPr>
        <w:rPr>
          <w:b/>
        </w:rPr>
      </w:pPr>
    </w:p>
    <w:tbl>
      <w:tblPr>
        <w:tblStyle w:val="TableGrid"/>
        <w:tblW w:w="0" w:type="auto"/>
        <w:tblLook w:val="04A0" w:firstRow="1" w:lastRow="0" w:firstColumn="1" w:lastColumn="0" w:noHBand="0" w:noVBand="1"/>
      </w:tblPr>
      <w:tblGrid>
        <w:gridCol w:w="2972"/>
        <w:gridCol w:w="6044"/>
      </w:tblGrid>
      <w:tr w:rsidR="00DE0A3A" w:rsidTr="009D2A03">
        <w:tc>
          <w:tcPr>
            <w:tcW w:w="2972" w:type="dxa"/>
          </w:tcPr>
          <w:p w:rsidR="00DE0A3A" w:rsidRDefault="00DE0A3A" w:rsidP="009D2A03">
            <w:pPr>
              <w:rPr>
                <w:b/>
              </w:rPr>
            </w:pPr>
            <w:r>
              <w:rPr>
                <w:b/>
              </w:rPr>
              <w:t>School:</w:t>
            </w:r>
          </w:p>
          <w:p w:rsidR="00DE0A3A" w:rsidRDefault="00DE0A3A" w:rsidP="009D2A03">
            <w:pPr>
              <w:rPr>
                <w:b/>
              </w:rPr>
            </w:pPr>
          </w:p>
        </w:tc>
        <w:tc>
          <w:tcPr>
            <w:tcW w:w="6044" w:type="dxa"/>
          </w:tcPr>
          <w:p w:rsidR="00DE0A3A" w:rsidRDefault="00DE0A3A" w:rsidP="009D2A03">
            <w:pPr>
              <w:rPr>
                <w:b/>
              </w:rPr>
            </w:pPr>
          </w:p>
        </w:tc>
      </w:tr>
      <w:tr w:rsidR="00DE0A3A" w:rsidTr="009D2A03">
        <w:tc>
          <w:tcPr>
            <w:tcW w:w="2972" w:type="dxa"/>
          </w:tcPr>
          <w:p w:rsidR="00DE0A3A" w:rsidRDefault="00DE0A3A" w:rsidP="009D2A03">
            <w:pPr>
              <w:rPr>
                <w:b/>
              </w:rPr>
            </w:pPr>
            <w:r>
              <w:rPr>
                <w:b/>
              </w:rPr>
              <w:t>Department/subject area:</w:t>
            </w:r>
          </w:p>
          <w:p w:rsidR="00DE0A3A" w:rsidRDefault="00DE0A3A" w:rsidP="009D2A03">
            <w:pPr>
              <w:rPr>
                <w:b/>
              </w:rPr>
            </w:pPr>
          </w:p>
        </w:tc>
        <w:tc>
          <w:tcPr>
            <w:tcW w:w="6044" w:type="dxa"/>
          </w:tcPr>
          <w:p w:rsidR="00DE0A3A" w:rsidRDefault="00DE0A3A" w:rsidP="009D2A03">
            <w:pPr>
              <w:rPr>
                <w:b/>
              </w:rPr>
            </w:pPr>
          </w:p>
        </w:tc>
      </w:tr>
      <w:tr w:rsidR="00DE0A3A" w:rsidTr="009D2A03">
        <w:tc>
          <w:tcPr>
            <w:tcW w:w="2972" w:type="dxa"/>
          </w:tcPr>
          <w:p w:rsidR="00DE0A3A" w:rsidRDefault="00DE0A3A" w:rsidP="009D2A03">
            <w:pPr>
              <w:rPr>
                <w:b/>
              </w:rPr>
            </w:pPr>
            <w:r>
              <w:rPr>
                <w:b/>
              </w:rPr>
              <w:t>Academic year under consideration:</w:t>
            </w:r>
          </w:p>
          <w:p w:rsidR="00DE0A3A" w:rsidRDefault="00DE0A3A" w:rsidP="009D2A03">
            <w:pPr>
              <w:rPr>
                <w:b/>
              </w:rPr>
            </w:pPr>
          </w:p>
        </w:tc>
        <w:tc>
          <w:tcPr>
            <w:tcW w:w="6044" w:type="dxa"/>
          </w:tcPr>
          <w:p w:rsidR="00DE0A3A" w:rsidRDefault="00DE0A3A" w:rsidP="009D2A03">
            <w:pPr>
              <w:rPr>
                <w:b/>
              </w:rPr>
            </w:pPr>
          </w:p>
        </w:tc>
      </w:tr>
      <w:tr w:rsidR="00DE0A3A" w:rsidTr="009D2A03">
        <w:tc>
          <w:tcPr>
            <w:tcW w:w="2972" w:type="dxa"/>
          </w:tcPr>
          <w:p w:rsidR="00DE0A3A" w:rsidRDefault="00DE0A3A" w:rsidP="009D2A03">
            <w:pPr>
              <w:rPr>
                <w:b/>
              </w:rPr>
            </w:pPr>
            <w:r>
              <w:rPr>
                <w:b/>
              </w:rPr>
              <w:t>Courses included in this report:</w:t>
            </w:r>
          </w:p>
          <w:p w:rsidR="00DE0A3A" w:rsidRDefault="00DE0A3A" w:rsidP="009D2A03">
            <w:pPr>
              <w:rPr>
                <w:b/>
              </w:rPr>
            </w:pPr>
          </w:p>
        </w:tc>
        <w:tc>
          <w:tcPr>
            <w:tcW w:w="6044" w:type="dxa"/>
          </w:tcPr>
          <w:p w:rsidR="00DE0A3A" w:rsidRDefault="00DE0A3A" w:rsidP="009D2A03">
            <w:pPr>
              <w:rPr>
                <w:b/>
              </w:rPr>
            </w:pPr>
          </w:p>
        </w:tc>
      </w:tr>
      <w:tr w:rsidR="00DE0A3A" w:rsidTr="009D2A03">
        <w:tc>
          <w:tcPr>
            <w:tcW w:w="2972" w:type="dxa"/>
          </w:tcPr>
          <w:p w:rsidR="00DE0A3A" w:rsidRDefault="00DE0A3A" w:rsidP="009D2A03">
            <w:pPr>
              <w:rPr>
                <w:b/>
              </w:rPr>
            </w:pPr>
            <w:r>
              <w:rPr>
                <w:b/>
              </w:rPr>
              <w:t>Author:</w:t>
            </w:r>
          </w:p>
        </w:tc>
        <w:tc>
          <w:tcPr>
            <w:tcW w:w="6044" w:type="dxa"/>
          </w:tcPr>
          <w:p w:rsidR="00DE0A3A" w:rsidRDefault="00DE0A3A" w:rsidP="009D2A03">
            <w:pPr>
              <w:rPr>
                <w:b/>
              </w:rPr>
            </w:pPr>
          </w:p>
          <w:p w:rsidR="00DE0A3A" w:rsidRDefault="00DE0A3A" w:rsidP="009D2A03">
            <w:pPr>
              <w:rPr>
                <w:b/>
              </w:rPr>
            </w:pPr>
          </w:p>
        </w:tc>
      </w:tr>
      <w:tr w:rsidR="00DE0A3A" w:rsidTr="009D2A03">
        <w:tc>
          <w:tcPr>
            <w:tcW w:w="2972" w:type="dxa"/>
          </w:tcPr>
          <w:p w:rsidR="00DE0A3A" w:rsidRDefault="00DE0A3A" w:rsidP="009D2A03">
            <w:pPr>
              <w:rPr>
                <w:b/>
              </w:rPr>
            </w:pPr>
            <w:r>
              <w:rPr>
                <w:b/>
              </w:rPr>
              <w:t>ACR approved by:</w:t>
            </w:r>
          </w:p>
          <w:p w:rsidR="00DE0A3A" w:rsidRDefault="00DE0A3A" w:rsidP="009D2A03">
            <w:pPr>
              <w:rPr>
                <w:b/>
              </w:rPr>
            </w:pPr>
          </w:p>
        </w:tc>
        <w:tc>
          <w:tcPr>
            <w:tcW w:w="6044" w:type="dxa"/>
          </w:tcPr>
          <w:p w:rsidR="00DE0A3A" w:rsidRDefault="00DE0A3A" w:rsidP="009D2A03">
            <w:pPr>
              <w:rPr>
                <w:b/>
              </w:rPr>
            </w:pPr>
          </w:p>
        </w:tc>
      </w:tr>
    </w:tbl>
    <w:p w:rsidR="00DE0A3A" w:rsidRDefault="00DE0A3A" w:rsidP="00DE0A3A">
      <w:pPr>
        <w:rPr>
          <w:b/>
        </w:rPr>
      </w:pPr>
    </w:p>
    <w:tbl>
      <w:tblPr>
        <w:tblStyle w:val="TableGrid"/>
        <w:tblW w:w="0" w:type="auto"/>
        <w:tblLook w:val="04A0" w:firstRow="1" w:lastRow="0" w:firstColumn="1" w:lastColumn="0" w:noHBand="0" w:noVBand="1"/>
      </w:tblPr>
      <w:tblGrid>
        <w:gridCol w:w="562"/>
        <w:gridCol w:w="8454"/>
      </w:tblGrid>
      <w:tr w:rsidR="00DE0A3A" w:rsidTr="009D2A03">
        <w:tc>
          <w:tcPr>
            <w:tcW w:w="562" w:type="dxa"/>
            <w:shd w:val="clear" w:color="auto" w:fill="D9D9D9" w:themeFill="background1" w:themeFillShade="D9"/>
          </w:tcPr>
          <w:p w:rsidR="00DE0A3A" w:rsidRDefault="00DE0A3A" w:rsidP="009D2A03">
            <w:pPr>
              <w:rPr>
                <w:b/>
              </w:rPr>
            </w:pPr>
            <w:r>
              <w:rPr>
                <w:b/>
              </w:rPr>
              <w:t>1.</w:t>
            </w:r>
          </w:p>
        </w:tc>
        <w:tc>
          <w:tcPr>
            <w:tcW w:w="8454" w:type="dxa"/>
            <w:shd w:val="clear" w:color="auto" w:fill="D9D9D9" w:themeFill="background1" w:themeFillShade="D9"/>
          </w:tcPr>
          <w:p w:rsidR="00DE0A3A" w:rsidRDefault="00DE0A3A" w:rsidP="009D2A03">
            <w:pPr>
              <w:rPr>
                <w:b/>
              </w:rPr>
            </w:pPr>
            <w:r>
              <w:rPr>
                <w:b/>
              </w:rPr>
              <w:t xml:space="preserve">How </w:t>
            </w:r>
            <w:proofErr w:type="gramStart"/>
            <w:r>
              <w:rPr>
                <w:b/>
              </w:rPr>
              <w:t>have the actions identified in last year’s Annual Course Review report been taken</w:t>
            </w:r>
            <w:proofErr w:type="gramEnd"/>
            <w:r>
              <w:rPr>
                <w:b/>
              </w:rPr>
              <w:t xml:space="preserve"> forward?</w:t>
            </w:r>
          </w:p>
          <w:p w:rsidR="00DE0A3A" w:rsidRDefault="00DE0A3A" w:rsidP="009D2A03">
            <w:pPr>
              <w:rPr>
                <w:b/>
              </w:rPr>
            </w:pPr>
          </w:p>
        </w:tc>
      </w:tr>
      <w:tr w:rsidR="00DE0A3A" w:rsidTr="009D2A03">
        <w:tc>
          <w:tcPr>
            <w:tcW w:w="9016" w:type="dxa"/>
            <w:gridSpan w:val="2"/>
          </w:tcPr>
          <w:p w:rsidR="00DE0A3A" w:rsidRDefault="00DE0A3A" w:rsidP="009D2A03">
            <w:pPr>
              <w:rPr>
                <w:i/>
              </w:rPr>
            </w:pPr>
            <w:r>
              <w:rPr>
                <w:i/>
              </w:rPr>
              <w:t>When responding to this question you are asked to consider each of the actions identified in last year’s report identifying for each:</w:t>
            </w:r>
          </w:p>
          <w:p w:rsidR="00DE0A3A" w:rsidRDefault="00DE0A3A" w:rsidP="00DE0A3A">
            <w:pPr>
              <w:pStyle w:val="ListParagraph"/>
              <w:numPr>
                <w:ilvl w:val="0"/>
                <w:numId w:val="21"/>
              </w:numPr>
              <w:rPr>
                <w:i/>
              </w:rPr>
            </w:pPr>
            <w:r w:rsidRPr="00522EF4">
              <w:rPr>
                <w:i/>
              </w:rPr>
              <w:t>Those actions that are complete – include a short description that reflects the relative progress or success of the action taken</w:t>
            </w:r>
          </w:p>
          <w:p w:rsidR="00DE0A3A" w:rsidRPr="00522EF4" w:rsidRDefault="00DE0A3A" w:rsidP="00DE0A3A">
            <w:pPr>
              <w:pStyle w:val="ListParagraph"/>
              <w:numPr>
                <w:ilvl w:val="0"/>
                <w:numId w:val="21"/>
              </w:numPr>
              <w:rPr>
                <w:i/>
              </w:rPr>
            </w:pPr>
            <w:r>
              <w:rPr>
                <w:i/>
              </w:rPr>
              <w:t>Those actions that are incomplete – please identify whether these continue to be ‘live’ actions – if so please ensure that they are included in the new action plan at section 5.</w:t>
            </w:r>
          </w:p>
          <w:p w:rsidR="00DE0A3A" w:rsidRPr="00522EF4" w:rsidRDefault="00DE0A3A" w:rsidP="009D2A03">
            <w:pPr>
              <w:rPr>
                <w:i/>
              </w:rPr>
            </w:pPr>
          </w:p>
          <w:p w:rsidR="00DE0A3A" w:rsidRDefault="00DE0A3A" w:rsidP="009D2A03">
            <w:pPr>
              <w:rPr>
                <w:b/>
              </w:rPr>
            </w:pPr>
          </w:p>
          <w:p w:rsidR="00DE0A3A" w:rsidRDefault="00DE0A3A" w:rsidP="009D2A03">
            <w:pPr>
              <w:rPr>
                <w:b/>
              </w:rPr>
            </w:pPr>
          </w:p>
          <w:p w:rsidR="00DE0A3A" w:rsidRDefault="00DE0A3A" w:rsidP="009D2A03">
            <w:pPr>
              <w:rPr>
                <w:b/>
              </w:rPr>
            </w:pPr>
          </w:p>
          <w:p w:rsidR="00DE0A3A" w:rsidRDefault="00DE0A3A" w:rsidP="009D2A03">
            <w:pPr>
              <w:rPr>
                <w:b/>
              </w:rPr>
            </w:pPr>
          </w:p>
          <w:p w:rsidR="00DE0A3A" w:rsidRDefault="00DE0A3A" w:rsidP="009D2A03">
            <w:pPr>
              <w:rPr>
                <w:b/>
              </w:rPr>
            </w:pPr>
          </w:p>
        </w:tc>
      </w:tr>
    </w:tbl>
    <w:p w:rsidR="00DE0A3A" w:rsidRDefault="00DE0A3A" w:rsidP="00DE0A3A">
      <w:pPr>
        <w:rPr>
          <w:b/>
        </w:rPr>
      </w:pPr>
    </w:p>
    <w:tbl>
      <w:tblPr>
        <w:tblStyle w:val="TableGrid"/>
        <w:tblW w:w="0" w:type="auto"/>
        <w:tblLook w:val="04A0" w:firstRow="1" w:lastRow="0" w:firstColumn="1" w:lastColumn="0" w:noHBand="0" w:noVBand="1"/>
      </w:tblPr>
      <w:tblGrid>
        <w:gridCol w:w="562"/>
        <w:gridCol w:w="8454"/>
      </w:tblGrid>
      <w:tr w:rsidR="00DE0A3A" w:rsidTr="009D2A03">
        <w:tc>
          <w:tcPr>
            <w:tcW w:w="562" w:type="dxa"/>
            <w:shd w:val="clear" w:color="auto" w:fill="D9D9D9" w:themeFill="background1" w:themeFillShade="D9"/>
          </w:tcPr>
          <w:p w:rsidR="00DE0A3A" w:rsidRDefault="00DE0A3A" w:rsidP="009D2A03">
            <w:pPr>
              <w:rPr>
                <w:b/>
              </w:rPr>
            </w:pPr>
            <w:r>
              <w:rPr>
                <w:b/>
              </w:rPr>
              <w:t>2.</w:t>
            </w:r>
          </w:p>
        </w:tc>
        <w:tc>
          <w:tcPr>
            <w:tcW w:w="8454" w:type="dxa"/>
            <w:shd w:val="clear" w:color="auto" w:fill="D9D9D9" w:themeFill="background1" w:themeFillShade="D9"/>
          </w:tcPr>
          <w:p w:rsidR="00DE0A3A" w:rsidRDefault="00DE0A3A" w:rsidP="009D2A03">
            <w:pPr>
              <w:rPr>
                <w:b/>
              </w:rPr>
            </w:pPr>
            <w:r>
              <w:rPr>
                <w:b/>
              </w:rPr>
              <w:t>Commentary on the performance of the provision during the last academic year</w:t>
            </w:r>
          </w:p>
          <w:p w:rsidR="00DE0A3A" w:rsidRDefault="00DE0A3A" w:rsidP="009D2A03">
            <w:pPr>
              <w:rPr>
                <w:b/>
              </w:rPr>
            </w:pPr>
          </w:p>
        </w:tc>
      </w:tr>
      <w:tr w:rsidR="00DE0A3A" w:rsidTr="009D2A03">
        <w:tc>
          <w:tcPr>
            <w:tcW w:w="9016" w:type="dxa"/>
            <w:gridSpan w:val="2"/>
          </w:tcPr>
          <w:p w:rsidR="00DE0A3A" w:rsidRDefault="00DE0A3A" w:rsidP="009D2A03">
            <w:pPr>
              <w:rPr>
                <w:i/>
              </w:rPr>
            </w:pPr>
            <w:r>
              <w:rPr>
                <w:i/>
              </w:rPr>
              <w:t xml:space="preserve">This section provides an opportunity for critical reflection on the performance of the provision during the academic year that has just concluded.  </w:t>
            </w:r>
            <w:r w:rsidRPr="00522EF4">
              <w:rPr>
                <w:i/>
              </w:rPr>
              <w:t xml:space="preserve">Drawing on the evidence base – both qualitative and quantitative – comment on the performance of the provision under review.  </w:t>
            </w:r>
            <w:r>
              <w:rPr>
                <w:i/>
              </w:rPr>
              <w:t>You may wish to think about:</w:t>
            </w:r>
          </w:p>
          <w:p w:rsidR="00DE0A3A" w:rsidRDefault="00DE0A3A" w:rsidP="009D2A03">
            <w:pPr>
              <w:rPr>
                <w:i/>
              </w:rPr>
            </w:pPr>
          </w:p>
          <w:p w:rsidR="00DE0A3A" w:rsidRDefault="00DE0A3A" w:rsidP="00DE0A3A">
            <w:pPr>
              <w:pStyle w:val="ListParagraph"/>
              <w:numPr>
                <w:ilvl w:val="0"/>
                <w:numId w:val="22"/>
              </w:numPr>
              <w:rPr>
                <w:i/>
              </w:rPr>
            </w:pPr>
            <w:r>
              <w:rPr>
                <w:i/>
              </w:rPr>
              <w:t>What has gone well, and why</w:t>
            </w:r>
          </w:p>
          <w:p w:rsidR="00DE0A3A" w:rsidRDefault="00DE0A3A" w:rsidP="00DE0A3A">
            <w:pPr>
              <w:pStyle w:val="ListParagraph"/>
              <w:numPr>
                <w:ilvl w:val="0"/>
                <w:numId w:val="22"/>
              </w:numPr>
              <w:rPr>
                <w:i/>
              </w:rPr>
            </w:pPr>
            <w:r>
              <w:rPr>
                <w:i/>
              </w:rPr>
              <w:t>What has gone less well, and why</w:t>
            </w:r>
          </w:p>
          <w:p w:rsidR="00DE0A3A" w:rsidRPr="005A153B" w:rsidRDefault="00DE0A3A" w:rsidP="00DE0A3A">
            <w:pPr>
              <w:pStyle w:val="ListParagraph"/>
              <w:numPr>
                <w:ilvl w:val="0"/>
                <w:numId w:val="22"/>
              </w:numPr>
              <w:rPr>
                <w:i/>
              </w:rPr>
            </w:pPr>
            <w:r>
              <w:rPr>
                <w:i/>
              </w:rPr>
              <w:t xml:space="preserve">Are there particular factors that have </w:t>
            </w:r>
            <w:proofErr w:type="gramStart"/>
            <w:r>
              <w:rPr>
                <w:i/>
              </w:rPr>
              <w:t>impacted on</w:t>
            </w:r>
            <w:proofErr w:type="gramEnd"/>
            <w:r>
              <w:rPr>
                <w:i/>
              </w:rPr>
              <w:t xml:space="preserve"> the provision, student performance or the student learning experience.</w:t>
            </w:r>
          </w:p>
          <w:p w:rsidR="00DE0A3A" w:rsidRDefault="00DE0A3A" w:rsidP="009D2A03">
            <w:pPr>
              <w:rPr>
                <w:i/>
              </w:rPr>
            </w:pPr>
          </w:p>
          <w:p w:rsidR="00DE0A3A" w:rsidRPr="00522EF4" w:rsidRDefault="00DE0A3A" w:rsidP="009D2A03">
            <w:pPr>
              <w:rPr>
                <w:i/>
              </w:rPr>
            </w:pPr>
            <w:r>
              <w:rPr>
                <w:i/>
              </w:rPr>
              <w:t>See accompanying guidance on issues to consider.</w:t>
            </w:r>
          </w:p>
          <w:p w:rsidR="00DE0A3A" w:rsidRDefault="00DE0A3A" w:rsidP="009D2A03">
            <w:pPr>
              <w:rPr>
                <w:b/>
              </w:rPr>
            </w:pPr>
          </w:p>
          <w:p w:rsidR="00DE0A3A" w:rsidRPr="00367C5D" w:rsidRDefault="00DE0A3A" w:rsidP="009D2A03">
            <w:pPr>
              <w:rPr>
                <w:i/>
              </w:rPr>
            </w:pPr>
            <w:r w:rsidRPr="00367C5D">
              <w:rPr>
                <w:i/>
              </w:rPr>
              <w:t>Identify any issues or risks that will be addressed in the action plan</w:t>
            </w:r>
            <w:r>
              <w:rPr>
                <w:i/>
              </w:rPr>
              <w:t xml:space="preserve"> (see section 5)</w:t>
            </w:r>
          </w:p>
          <w:p w:rsidR="00DE0A3A" w:rsidRDefault="00DE0A3A" w:rsidP="009D2A03">
            <w:pPr>
              <w:rPr>
                <w:b/>
              </w:rPr>
            </w:pPr>
          </w:p>
          <w:p w:rsidR="00DE0A3A" w:rsidRDefault="00DE0A3A" w:rsidP="009D2A03">
            <w:pPr>
              <w:rPr>
                <w:b/>
              </w:rPr>
            </w:pPr>
          </w:p>
          <w:p w:rsidR="00DE0A3A" w:rsidRDefault="00DE0A3A" w:rsidP="009D2A03">
            <w:pPr>
              <w:rPr>
                <w:b/>
              </w:rPr>
            </w:pPr>
          </w:p>
          <w:p w:rsidR="00DE0A3A" w:rsidRDefault="00DE0A3A" w:rsidP="009D2A03">
            <w:pPr>
              <w:rPr>
                <w:b/>
              </w:rPr>
            </w:pPr>
          </w:p>
        </w:tc>
      </w:tr>
      <w:tr w:rsidR="00DE0A3A" w:rsidTr="009D2A03">
        <w:tc>
          <w:tcPr>
            <w:tcW w:w="562" w:type="dxa"/>
            <w:shd w:val="clear" w:color="auto" w:fill="D9D9D9" w:themeFill="background1" w:themeFillShade="D9"/>
          </w:tcPr>
          <w:p w:rsidR="00DE0A3A" w:rsidRDefault="00DE0A3A" w:rsidP="009D2A03">
            <w:pPr>
              <w:rPr>
                <w:b/>
              </w:rPr>
            </w:pPr>
            <w:r>
              <w:rPr>
                <w:b/>
              </w:rPr>
              <w:lastRenderedPageBreak/>
              <w:t>3.</w:t>
            </w:r>
          </w:p>
        </w:tc>
        <w:tc>
          <w:tcPr>
            <w:tcW w:w="8454" w:type="dxa"/>
            <w:shd w:val="clear" w:color="auto" w:fill="D9D9D9" w:themeFill="background1" w:themeFillShade="D9"/>
          </w:tcPr>
          <w:p w:rsidR="00DE0A3A" w:rsidRDefault="00DE0A3A" w:rsidP="009D2A03">
            <w:pPr>
              <w:rPr>
                <w:b/>
              </w:rPr>
            </w:pPr>
            <w:r>
              <w:rPr>
                <w:b/>
              </w:rPr>
              <w:t>Comment on the effectiveness of methods to engage students as partners in their academic experience.</w:t>
            </w:r>
          </w:p>
          <w:p w:rsidR="00DE0A3A" w:rsidRDefault="00DE0A3A" w:rsidP="009D2A03">
            <w:pPr>
              <w:rPr>
                <w:b/>
              </w:rPr>
            </w:pPr>
          </w:p>
        </w:tc>
      </w:tr>
      <w:tr w:rsidR="00DE0A3A" w:rsidTr="009D2A03">
        <w:tc>
          <w:tcPr>
            <w:tcW w:w="9016" w:type="dxa"/>
            <w:gridSpan w:val="2"/>
          </w:tcPr>
          <w:p w:rsidR="00DE0A3A" w:rsidRDefault="00DE0A3A" w:rsidP="009D2A03">
            <w:pPr>
              <w:rPr>
                <w:b/>
              </w:rPr>
            </w:pPr>
          </w:p>
          <w:p w:rsidR="00DE0A3A" w:rsidRDefault="00DE0A3A" w:rsidP="009D2A03">
            <w:pPr>
              <w:rPr>
                <w:b/>
              </w:rPr>
            </w:pPr>
          </w:p>
          <w:p w:rsidR="00DE0A3A" w:rsidRDefault="00DE0A3A" w:rsidP="009D2A03">
            <w:pPr>
              <w:rPr>
                <w:b/>
              </w:rPr>
            </w:pPr>
          </w:p>
          <w:p w:rsidR="00DE0A3A" w:rsidRDefault="00DE0A3A" w:rsidP="009D2A03">
            <w:pPr>
              <w:rPr>
                <w:b/>
              </w:rPr>
            </w:pPr>
          </w:p>
          <w:p w:rsidR="00DE0A3A" w:rsidRDefault="00DE0A3A" w:rsidP="009D2A03">
            <w:pPr>
              <w:rPr>
                <w:b/>
              </w:rPr>
            </w:pPr>
          </w:p>
          <w:p w:rsidR="00DE0A3A" w:rsidRDefault="00DE0A3A" w:rsidP="009D2A03">
            <w:pPr>
              <w:rPr>
                <w:b/>
              </w:rPr>
            </w:pPr>
          </w:p>
          <w:p w:rsidR="00DE0A3A" w:rsidRDefault="00DE0A3A" w:rsidP="009D2A03">
            <w:pPr>
              <w:rPr>
                <w:b/>
              </w:rPr>
            </w:pPr>
          </w:p>
        </w:tc>
      </w:tr>
    </w:tbl>
    <w:p w:rsidR="00DE0A3A" w:rsidRDefault="00DE0A3A" w:rsidP="00DE0A3A">
      <w:pPr>
        <w:rPr>
          <w:b/>
        </w:rPr>
      </w:pPr>
    </w:p>
    <w:tbl>
      <w:tblPr>
        <w:tblStyle w:val="TableGrid"/>
        <w:tblW w:w="0" w:type="auto"/>
        <w:tblLook w:val="04A0" w:firstRow="1" w:lastRow="0" w:firstColumn="1" w:lastColumn="0" w:noHBand="0" w:noVBand="1"/>
      </w:tblPr>
      <w:tblGrid>
        <w:gridCol w:w="562"/>
        <w:gridCol w:w="8454"/>
      </w:tblGrid>
      <w:tr w:rsidR="00DE0A3A" w:rsidTr="009D2A03">
        <w:tc>
          <w:tcPr>
            <w:tcW w:w="562" w:type="dxa"/>
            <w:shd w:val="clear" w:color="auto" w:fill="D9D9D9" w:themeFill="background1" w:themeFillShade="D9"/>
          </w:tcPr>
          <w:p w:rsidR="00DE0A3A" w:rsidRDefault="00DE0A3A" w:rsidP="009D2A03">
            <w:pPr>
              <w:rPr>
                <w:b/>
              </w:rPr>
            </w:pPr>
            <w:r>
              <w:rPr>
                <w:b/>
              </w:rPr>
              <w:t>4.</w:t>
            </w:r>
          </w:p>
        </w:tc>
        <w:tc>
          <w:tcPr>
            <w:tcW w:w="8454" w:type="dxa"/>
            <w:shd w:val="clear" w:color="auto" w:fill="D9D9D9" w:themeFill="background1" w:themeFillShade="D9"/>
          </w:tcPr>
          <w:p w:rsidR="00DE0A3A" w:rsidRDefault="00DE0A3A" w:rsidP="009D2A03">
            <w:pPr>
              <w:rPr>
                <w:b/>
              </w:rPr>
            </w:pPr>
            <w:r>
              <w:rPr>
                <w:b/>
              </w:rPr>
              <w:t>Areas of good practice</w:t>
            </w:r>
          </w:p>
          <w:p w:rsidR="00DE0A3A" w:rsidRDefault="00DE0A3A" w:rsidP="009D2A03">
            <w:pPr>
              <w:rPr>
                <w:b/>
              </w:rPr>
            </w:pPr>
          </w:p>
        </w:tc>
      </w:tr>
      <w:tr w:rsidR="00DE0A3A" w:rsidTr="009D2A03">
        <w:tc>
          <w:tcPr>
            <w:tcW w:w="9016" w:type="dxa"/>
            <w:gridSpan w:val="2"/>
          </w:tcPr>
          <w:p w:rsidR="00DE0A3A" w:rsidRDefault="00DE0A3A" w:rsidP="009D2A03">
            <w:pPr>
              <w:rPr>
                <w:i/>
              </w:rPr>
            </w:pPr>
            <w:r>
              <w:rPr>
                <w:i/>
              </w:rPr>
              <w:t>This section is the opportunity to reflect on those aspects of the delivery of the provision or the student experience that have been particularly positive or successful during the last twelve months.  This might be new or innovate practice, things that students have responded to particularly well, or the consequences of actions you have taken to deal with a particular problem or issue that have been particularly effective.</w:t>
            </w:r>
          </w:p>
          <w:p w:rsidR="00DE0A3A" w:rsidRDefault="00DE0A3A" w:rsidP="009D2A03">
            <w:pPr>
              <w:rPr>
                <w:i/>
              </w:rPr>
            </w:pPr>
          </w:p>
          <w:p w:rsidR="00DE0A3A" w:rsidRPr="00522EF4" w:rsidRDefault="00DE0A3A" w:rsidP="009D2A03">
            <w:pPr>
              <w:rPr>
                <w:i/>
              </w:rPr>
            </w:pPr>
            <w:r>
              <w:rPr>
                <w:i/>
              </w:rPr>
              <w:t xml:space="preserve">It </w:t>
            </w:r>
            <w:proofErr w:type="gramStart"/>
            <w:r>
              <w:rPr>
                <w:i/>
              </w:rPr>
              <w:t>is anticipated</w:t>
            </w:r>
            <w:proofErr w:type="gramEnd"/>
            <w:r>
              <w:rPr>
                <w:i/>
              </w:rPr>
              <w:t xml:space="preserve"> that others could learn from or adapt for their own use positive features identified in this section of the report.  If you have undertaken formal evaluation of these positive aspects, please include references.  However, it is not a requirement that there has been extensive formal evaluation of the things identified in this section – however if you have any evidence of some form of evaluation i.e. peer review or student feedback, whether formal or informal, please cite.</w:t>
            </w:r>
          </w:p>
          <w:p w:rsidR="00DE0A3A" w:rsidRDefault="00DE0A3A" w:rsidP="009D2A03">
            <w:pPr>
              <w:rPr>
                <w:b/>
              </w:rPr>
            </w:pPr>
          </w:p>
          <w:p w:rsidR="00DE0A3A" w:rsidRDefault="00DE0A3A" w:rsidP="009D2A03">
            <w:pPr>
              <w:rPr>
                <w:b/>
              </w:rPr>
            </w:pPr>
          </w:p>
          <w:p w:rsidR="00DE0A3A" w:rsidRDefault="00DE0A3A" w:rsidP="009D2A03">
            <w:pPr>
              <w:rPr>
                <w:b/>
              </w:rPr>
            </w:pPr>
          </w:p>
          <w:p w:rsidR="00DE0A3A" w:rsidRDefault="00DE0A3A" w:rsidP="009D2A03">
            <w:pPr>
              <w:rPr>
                <w:b/>
              </w:rPr>
            </w:pPr>
          </w:p>
        </w:tc>
      </w:tr>
    </w:tbl>
    <w:p w:rsidR="00DE0A3A" w:rsidRDefault="00DE0A3A" w:rsidP="00DE0A3A">
      <w:pPr>
        <w:rPr>
          <w:b/>
        </w:rPr>
      </w:pPr>
    </w:p>
    <w:tbl>
      <w:tblPr>
        <w:tblStyle w:val="TableGrid"/>
        <w:tblW w:w="0" w:type="auto"/>
        <w:tblLook w:val="04A0" w:firstRow="1" w:lastRow="0" w:firstColumn="1" w:lastColumn="0" w:noHBand="0" w:noVBand="1"/>
      </w:tblPr>
      <w:tblGrid>
        <w:gridCol w:w="846"/>
        <w:gridCol w:w="8170"/>
      </w:tblGrid>
      <w:tr w:rsidR="00DE0A3A" w:rsidTr="009D2A03">
        <w:tc>
          <w:tcPr>
            <w:tcW w:w="846" w:type="dxa"/>
            <w:shd w:val="clear" w:color="auto" w:fill="D9D9D9" w:themeFill="background1" w:themeFillShade="D9"/>
          </w:tcPr>
          <w:p w:rsidR="00DE0A3A" w:rsidRDefault="00DE0A3A" w:rsidP="009D2A03">
            <w:pPr>
              <w:rPr>
                <w:b/>
              </w:rPr>
            </w:pPr>
            <w:r>
              <w:rPr>
                <w:b/>
              </w:rPr>
              <w:t>5.</w:t>
            </w:r>
          </w:p>
        </w:tc>
        <w:tc>
          <w:tcPr>
            <w:tcW w:w="8170" w:type="dxa"/>
            <w:shd w:val="clear" w:color="auto" w:fill="D9D9D9" w:themeFill="background1" w:themeFillShade="D9"/>
          </w:tcPr>
          <w:p w:rsidR="00DE0A3A" w:rsidRDefault="00DE0A3A" w:rsidP="009D2A03">
            <w:pPr>
              <w:rPr>
                <w:b/>
              </w:rPr>
            </w:pPr>
            <w:r>
              <w:rPr>
                <w:b/>
              </w:rPr>
              <w:t>Action Plan</w:t>
            </w:r>
          </w:p>
          <w:p w:rsidR="00DE0A3A" w:rsidRDefault="00DE0A3A" w:rsidP="009D2A03">
            <w:pPr>
              <w:rPr>
                <w:b/>
              </w:rPr>
            </w:pPr>
          </w:p>
        </w:tc>
      </w:tr>
      <w:tr w:rsidR="00DE0A3A" w:rsidTr="009D2A03">
        <w:tc>
          <w:tcPr>
            <w:tcW w:w="9016" w:type="dxa"/>
            <w:gridSpan w:val="2"/>
          </w:tcPr>
          <w:p w:rsidR="00DE0A3A" w:rsidRPr="00367C5D" w:rsidRDefault="00DE0A3A" w:rsidP="009D2A03">
            <w:pPr>
              <w:rPr>
                <w:i/>
              </w:rPr>
            </w:pPr>
            <w:r w:rsidRPr="00367C5D">
              <w:rPr>
                <w:i/>
              </w:rPr>
              <w:t>This should be a summary of any issues and risks identified elsewhere in the report.  It may be helpful to consider presenting these as:</w:t>
            </w:r>
          </w:p>
          <w:p w:rsidR="00DE0A3A" w:rsidRPr="00367C5D" w:rsidRDefault="00DE0A3A" w:rsidP="009D2A03">
            <w:pPr>
              <w:rPr>
                <w:i/>
              </w:rPr>
            </w:pPr>
          </w:p>
          <w:p w:rsidR="00DE0A3A" w:rsidRPr="00367C5D" w:rsidRDefault="00DE0A3A" w:rsidP="009D2A03">
            <w:pPr>
              <w:rPr>
                <w:i/>
              </w:rPr>
            </w:pPr>
            <w:r w:rsidRPr="00367C5D">
              <w:rPr>
                <w:i/>
              </w:rPr>
              <w:t>Issue or risk</w:t>
            </w:r>
          </w:p>
          <w:p w:rsidR="00DE0A3A" w:rsidRPr="00367C5D" w:rsidRDefault="00DE0A3A" w:rsidP="009D2A03">
            <w:pPr>
              <w:rPr>
                <w:i/>
              </w:rPr>
            </w:pPr>
            <w:r w:rsidRPr="00367C5D">
              <w:rPr>
                <w:i/>
              </w:rPr>
              <w:t>Short description</w:t>
            </w:r>
          </w:p>
          <w:p w:rsidR="00DE0A3A" w:rsidRPr="00367C5D" w:rsidRDefault="00DE0A3A" w:rsidP="009D2A03">
            <w:pPr>
              <w:rPr>
                <w:i/>
              </w:rPr>
            </w:pPr>
            <w:r w:rsidRPr="00367C5D">
              <w:rPr>
                <w:i/>
              </w:rPr>
              <w:t>What action is to be taken</w:t>
            </w:r>
          </w:p>
          <w:p w:rsidR="00DE0A3A" w:rsidRPr="00367C5D" w:rsidRDefault="00DE0A3A" w:rsidP="009D2A03">
            <w:pPr>
              <w:rPr>
                <w:i/>
              </w:rPr>
            </w:pPr>
            <w:r w:rsidRPr="00367C5D">
              <w:rPr>
                <w:i/>
              </w:rPr>
              <w:t>Who will lead on the action</w:t>
            </w:r>
          </w:p>
          <w:p w:rsidR="00DE0A3A" w:rsidRPr="00367C5D" w:rsidRDefault="00DE0A3A" w:rsidP="009D2A03">
            <w:pPr>
              <w:rPr>
                <w:i/>
              </w:rPr>
            </w:pPr>
            <w:r w:rsidRPr="00367C5D">
              <w:rPr>
                <w:i/>
              </w:rPr>
              <w:t>Target date for completion</w:t>
            </w:r>
          </w:p>
          <w:p w:rsidR="00DE0A3A" w:rsidRDefault="00DE0A3A" w:rsidP="009D2A03">
            <w:pPr>
              <w:rPr>
                <w:b/>
              </w:rPr>
            </w:pPr>
          </w:p>
          <w:p w:rsidR="00DE0A3A" w:rsidRDefault="00DE0A3A" w:rsidP="009D2A03">
            <w:pPr>
              <w:rPr>
                <w:b/>
              </w:rPr>
            </w:pPr>
          </w:p>
          <w:p w:rsidR="00DE0A3A" w:rsidRDefault="00DE0A3A" w:rsidP="009D2A03">
            <w:pPr>
              <w:rPr>
                <w:b/>
              </w:rPr>
            </w:pPr>
          </w:p>
          <w:p w:rsidR="00DE0A3A" w:rsidRDefault="00DE0A3A" w:rsidP="009D2A03">
            <w:pPr>
              <w:rPr>
                <w:b/>
              </w:rPr>
            </w:pPr>
          </w:p>
        </w:tc>
      </w:tr>
    </w:tbl>
    <w:p w:rsidR="00DE0A3A" w:rsidRDefault="00DE0A3A" w:rsidP="00DE0A3A">
      <w:pPr>
        <w:rPr>
          <w:b/>
        </w:rPr>
      </w:pPr>
    </w:p>
    <w:p w:rsidR="00DE0A3A" w:rsidRDefault="00DE0A3A" w:rsidP="00DE0A3A">
      <w:pPr>
        <w:rPr>
          <w:b/>
        </w:rPr>
      </w:pPr>
      <w:r>
        <w:rPr>
          <w:b/>
        </w:rPr>
        <w:br w:type="page"/>
      </w:r>
    </w:p>
    <w:p w:rsidR="00DE0A3A" w:rsidRPr="009352F7" w:rsidRDefault="00DE0A3A" w:rsidP="00DE0A3A">
      <w:pPr>
        <w:rPr>
          <w:rFonts w:cs="Arial"/>
          <w:b/>
          <w:sz w:val="20"/>
          <w:szCs w:val="20"/>
        </w:rPr>
      </w:pPr>
      <w:r w:rsidRPr="009352F7">
        <w:rPr>
          <w:rFonts w:cs="Arial"/>
          <w:b/>
          <w:sz w:val="20"/>
          <w:szCs w:val="20"/>
        </w:rPr>
        <w:lastRenderedPageBreak/>
        <w:t>Commentary on the performance of the provision under review - Guidance</w:t>
      </w:r>
    </w:p>
    <w:p w:rsidR="00DE0A3A" w:rsidRPr="009352F7" w:rsidRDefault="00DE0A3A" w:rsidP="00DE0A3A">
      <w:pPr>
        <w:rPr>
          <w:rFonts w:cs="Arial"/>
          <w:b/>
          <w:sz w:val="20"/>
          <w:szCs w:val="20"/>
        </w:rPr>
      </w:pPr>
    </w:p>
    <w:p w:rsidR="00DE0A3A" w:rsidRDefault="00DE0A3A" w:rsidP="00DE0A3A">
      <w:pPr>
        <w:tabs>
          <w:tab w:val="left" w:pos="1741"/>
        </w:tabs>
        <w:rPr>
          <w:rFonts w:cs="Arial"/>
          <w:sz w:val="20"/>
          <w:szCs w:val="20"/>
        </w:rPr>
      </w:pPr>
      <w:r w:rsidRPr="009352F7">
        <w:rPr>
          <w:rFonts w:cs="Arial"/>
          <w:sz w:val="20"/>
          <w:szCs w:val="20"/>
        </w:rPr>
        <w:t xml:space="preserve">This section provides an opportunity for the course team </w:t>
      </w:r>
      <w:proofErr w:type="gramStart"/>
      <w:r w:rsidRPr="009352F7">
        <w:rPr>
          <w:rFonts w:cs="Arial"/>
          <w:sz w:val="20"/>
          <w:szCs w:val="20"/>
        </w:rPr>
        <w:t>to critically reflect</w:t>
      </w:r>
      <w:proofErr w:type="gramEnd"/>
      <w:r w:rsidRPr="009352F7">
        <w:rPr>
          <w:rFonts w:cs="Arial"/>
          <w:sz w:val="20"/>
          <w:szCs w:val="20"/>
        </w:rPr>
        <w:t xml:space="preserve"> on the performance of the course during the academic year that has just concluded.  </w:t>
      </w:r>
    </w:p>
    <w:p w:rsidR="00DE0A3A" w:rsidRPr="009352F7" w:rsidRDefault="00DE0A3A" w:rsidP="00DE0A3A">
      <w:pPr>
        <w:tabs>
          <w:tab w:val="left" w:pos="1741"/>
        </w:tabs>
        <w:rPr>
          <w:rFonts w:cs="Arial"/>
          <w:sz w:val="20"/>
          <w:szCs w:val="20"/>
        </w:rPr>
      </w:pPr>
    </w:p>
    <w:p w:rsidR="00DE0A3A" w:rsidRPr="009352F7" w:rsidRDefault="00DE0A3A" w:rsidP="00DE0A3A">
      <w:pPr>
        <w:pStyle w:val="ListParagraph"/>
        <w:numPr>
          <w:ilvl w:val="0"/>
          <w:numId w:val="23"/>
        </w:numPr>
        <w:tabs>
          <w:tab w:val="left" w:pos="1741"/>
        </w:tabs>
        <w:rPr>
          <w:rFonts w:cs="Arial"/>
          <w:sz w:val="20"/>
          <w:szCs w:val="20"/>
        </w:rPr>
      </w:pPr>
      <w:r w:rsidRPr="009352F7">
        <w:rPr>
          <w:rFonts w:cs="Arial"/>
          <w:sz w:val="20"/>
          <w:szCs w:val="20"/>
        </w:rPr>
        <w:t xml:space="preserve">What has gone well, and why </w:t>
      </w:r>
    </w:p>
    <w:p w:rsidR="00DE0A3A" w:rsidRPr="009352F7" w:rsidRDefault="00DE0A3A" w:rsidP="00DE0A3A">
      <w:pPr>
        <w:pStyle w:val="ListParagraph"/>
        <w:numPr>
          <w:ilvl w:val="0"/>
          <w:numId w:val="23"/>
        </w:numPr>
        <w:tabs>
          <w:tab w:val="left" w:pos="1741"/>
        </w:tabs>
        <w:rPr>
          <w:rFonts w:cs="Arial"/>
          <w:sz w:val="20"/>
          <w:szCs w:val="20"/>
        </w:rPr>
      </w:pPr>
      <w:r w:rsidRPr="009352F7">
        <w:rPr>
          <w:rFonts w:cs="Arial"/>
          <w:sz w:val="20"/>
          <w:szCs w:val="20"/>
        </w:rPr>
        <w:t>What has gone less well, and why</w:t>
      </w:r>
    </w:p>
    <w:p w:rsidR="00DE0A3A" w:rsidRPr="009352F7" w:rsidRDefault="00DE0A3A" w:rsidP="00DE0A3A">
      <w:pPr>
        <w:pStyle w:val="ListParagraph"/>
        <w:numPr>
          <w:ilvl w:val="0"/>
          <w:numId w:val="23"/>
        </w:numPr>
        <w:tabs>
          <w:tab w:val="left" w:pos="1741"/>
        </w:tabs>
        <w:rPr>
          <w:rFonts w:cs="Arial"/>
          <w:sz w:val="20"/>
          <w:szCs w:val="20"/>
        </w:rPr>
      </w:pPr>
      <w:r w:rsidRPr="009352F7">
        <w:rPr>
          <w:rFonts w:cs="Arial"/>
          <w:sz w:val="20"/>
          <w:szCs w:val="20"/>
        </w:rPr>
        <w:t>Are there particular factors that have impacted on the course, student performance or the student learning experience</w:t>
      </w:r>
    </w:p>
    <w:p w:rsidR="00DE0A3A" w:rsidRPr="009352F7" w:rsidRDefault="00DE0A3A" w:rsidP="00DE0A3A">
      <w:pPr>
        <w:tabs>
          <w:tab w:val="left" w:pos="1741"/>
        </w:tabs>
        <w:rPr>
          <w:rFonts w:cs="Arial"/>
          <w:sz w:val="20"/>
          <w:szCs w:val="20"/>
        </w:rPr>
      </w:pPr>
    </w:p>
    <w:p w:rsidR="00DE0A3A" w:rsidRPr="009352F7" w:rsidRDefault="00DE0A3A" w:rsidP="00DE0A3A">
      <w:pPr>
        <w:tabs>
          <w:tab w:val="left" w:pos="1741"/>
        </w:tabs>
        <w:rPr>
          <w:rFonts w:cs="Arial"/>
          <w:sz w:val="20"/>
          <w:szCs w:val="20"/>
        </w:rPr>
      </w:pPr>
      <w:r w:rsidRPr="009352F7">
        <w:rPr>
          <w:rFonts w:cs="Arial"/>
          <w:sz w:val="20"/>
          <w:szCs w:val="20"/>
        </w:rPr>
        <w:t xml:space="preserve">The following is </w:t>
      </w:r>
      <w:r w:rsidRPr="009352F7">
        <w:rPr>
          <w:rFonts w:cs="Arial"/>
          <w:b/>
          <w:sz w:val="20"/>
          <w:szCs w:val="20"/>
          <w:u w:val="single"/>
        </w:rPr>
        <w:t>not</w:t>
      </w:r>
      <w:r w:rsidRPr="009352F7">
        <w:rPr>
          <w:rFonts w:cs="Arial"/>
          <w:sz w:val="20"/>
          <w:szCs w:val="20"/>
        </w:rPr>
        <w:t xml:space="preserve"> a checklist – but you may wish to consider the following as prompts to guide your thinking:  </w:t>
      </w:r>
    </w:p>
    <w:p w:rsidR="00DE0A3A" w:rsidRPr="009352F7" w:rsidRDefault="00DE0A3A" w:rsidP="00DE0A3A">
      <w:pPr>
        <w:rPr>
          <w:rFonts w:cs="Arial"/>
          <w:b/>
          <w:sz w:val="20"/>
          <w:szCs w:val="20"/>
        </w:rPr>
      </w:pPr>
    </w:p>
    <w:tbl>
      <w:tblPr>
        <w:tblStyle w:val="TableGrid"/>
        <w:tblW w:w="0" w:type="auto"/>
        <w:jc w:val="center"/>
        <w:tblLook w:val="04A0" w:firstRow="1" w:lastRow="0" w:firstColumn="1" w:lastColumn="0" w:noHBand="0" w:noVBand="1"/>
      </w:tblPr>
      <w:tblGrid>
        <w:gridCol w:w="4425"/>
        <w:gridCol w:w="4591"/>
      </w:tblGrid>
      <w:tr w:rsidR="00DE0A3A" w:rsidRPr="009352F7" w:rsidTr="009D2A03">
        <w:trPr>
          <w:jc w:val="center"/>
        </w:trPr>
        <w:tc>
          <w:tcPr>
            <w:tcW w:w="4425" w:type="dxa"/>
            <w:shd w:val="clear" w:color="auto" w:fill="C9C9C9" w:themeFill="accent3" w:themeFillTint="99"/>
          </w:tcPr>
          <w:p w:rsidR="00DE0A3A" w:rsidRPr="009352F7" w:rsidRDefault="00DE0A3A" w:rsidP="009D2A03">
            <w:pPr>
              <w:tabs>
                <w:tab w:val="left" w:pos="1741"/>
              </w:tabs>
              <w:rPr>
                <w:rFonts w:cs="Arial"/>
                <w:b/>
                <w:color w:val="000000" w:themeColor="text1"/>
                <w:sz w:val="20"/>
                <w:szCs w:val="20"/>
              </w:rPr>
            </w:pPr>
            <w:r w:rsidRPr="009352F7">
              <w:rPr>
                <w:rFonts w:cs="Arial"/>
                <w:b/>
                <w:color w:val="000000" w:themeColor="text1"/>
                <w:sz w:val="20"/>
                <w:szCs w:val="20"/>
              </w:rPr>
              <w:t>Student Recruitment</w:t>
            </w:r>
          </w:p>
        </w:tc>
        <w:tc>
          <w:tcPr>
            <w:tcW w:w="4591" w:type="dxa"/>
            <w:shd w:val="clear" w:color="auto" w:fill="C9C9C9" w:themeFill="accent3" w:themeFillTint="99"/>
          </w:tcPr>
          <w:p w:rsidR="00DE0A3A" w:rsidRPr="009352F7" w:rsidRDefault="00DE0A3A" w:rsidP="009D2A03">
            <w:pPr>
              <w:tabs>
                <w:tab w:val="left" w:pos="1741"/>
              </w:tabs>
              <w:rPr>
                <w:rFonts w:cs="Arial"/>
                <w:b/>
                <w:color w:val="000000" w:themeColor="text1"/>
                <w:sz w:val="20"/>
                <w:szCs w:val="20"/>
              </w:rPr>
            </w:pPr>
            <w:r w:rsidRPr="009352F7">
              <w:rPr>
                <w:rFonts w:cs="Arial"/>
                <w:b/>
                <w:color w:val="000000" w:themeColor="text1"/>
                <w:sz w:val="20"/>
                <w:szCs w:val="20"/>
              </w:rPr>
              <w:t>Assessment</w:t>
            </w:r>
          </w:p>
        </w:tc>
      </w:tr>
      <w:tr w:rsidR="00DE0A3A" w:rsidRPr="009352F7" w:rsidTr="009D2A03">
        <w:trPr>
          <w:trHeight w:val="2921"/>
          <w:jc w:val="center"/>
        </w:trPr>
        <w:tc>
          <w:tcPr>
            <w:tcW w:w="4425" w:type="dxa"/>
          </w:tcPr>
          <w:p w:rsidR="00DE0A3A" w:rsidRPr="009352F7" w:rsidRDefault="00DE0A3A" w:rsidP="00DE0A3A">
            <w:pPr>
              <w:pStyle w:val="ListParagraph"/>
              <w:numPr>
                <w:ilvl w:val="0"/>
                <w:numId w:val="30"/>
              </w:numPr>
              <w:tabs>
                <w:tab w:val="left" w:pos="1741"/>
              </w:tabs>
              <w:rPr>
                <w:rFonts w:cs="Arial"/>
                <w:sz w:val="20"/>
                <w:szCs w:val="20"/>
              </w:rPr>
            </w:pPr>
            <w:r w:rsidRPr="009352F7">
              <w:rPr>
                <w:rFonts w:cs="Arial"/>
                <w:sz w:val="20"/>
                <w:szCs w:val="20"/>
              </w:rPr>
              <w:t>The achievement/challenge of meeting recruitment targets</w:t>
            </w:r>
          </w:p>
          <w:p w:rsidR="00DE0A3A" w:rsidRPr="009352F7" w:rsidRDefault="00DE0A3A" w:rsidP="00DE0A3A">
            <w:pPr>
              <w:pStyle w:val="ListParagraph"/>
              <w:numPr>
                <w:ilvl w:val="0"/>
                <w:numId w:val="30"/>
              </w:numPr>
              <w:tabs>
                <w:tab w:val="left" w:pos="1741"/>
              </w:tabs>
              <w:rPr>
                <w:rFonts w:cs="Arial"/>
                <w:sz w:val="20"/>
                <w:szCs w:val="20"/>
              </w:rPr>
            </w:pPr>
            <w:r w:rsidRPr="009352F7">
              <w:rPr>
                <w:rFonts w:cs="Arial"/>
                <w:sz w:val="20"/>
                <w:szCs w:val="20"/>
              </w:rPr>
              <w:t>Tariff score for UG provision</w:t>
            </w:r>
          </w:p>
          <w:p w:rsidR="00DE0A3A" w:rsidRPr="009352F7" w:rsidRDefault="00DE0A3A" w:rsidP="00DE0A3A">
            <w:pPr>
              <w:pStyle w:val="ListParagraph"/>
              <w:numPr>
                <w:ilvl w:val="0"/>
                <w:numId w:val="30"/>
              </w:numPr>
              <w:tabs>
                <w:tab w:val="left" w:pos="1741"/>
              </w:tabs>
              <w:rPr>
                <w:rFonts w:cs="Arial"/>
                <w:sz w:val="20"/>
                <w:szCs w:val="20"/>
              </w:rPr>
            </w:pPr>
            <w:r w:rsidRPr="009352F7">
              <w:rPr>
                <w:rFonts w:cs="Arial"/>
                <w:sz w:val="20"/>
                <w:szCs w:val="20"/>
              </w:rPr>
              <w:t>Effectiveness of welcome and induction</w:t>
            </w:r>
          </w:p>
          <w:p w:rsidR="00DE0A3A" w:rsidRPr="009352F7" w:rsidRDefault="00DE0A3A" w:rsidP="009D2A03">
            <w:pPr>
              <w:pStyle w:val="ListParagraph"/>
              <w:tabs>
                <w:tab w:val="left" w:pos="1741"/>
              </w:tabs>
              <w:ind w:left="360"/>
              <w:rPr>
                <w:rFonts w:cs="Arial"/>
                <w:sz w:val="20"/>
                <w:szCs w:val="20"/>
              </w:rPr>
            </w:pPr>
          </w:p>
        </w:tc>
        <w:tc>
          <w:tcPr>
            <w:tcW w:w="4591" w:type="dxa"/>
          </w:tcPr>
          <w:p w:rsidR="00DE0A3A" w:rsidRPr="009352F7" w:rsidRDefault="00DE0A3A" w:rsidP="00DE0A3A">
            <w:pPr>
              <w:pStyle w:val="ListParagraph"/>
              <w:numPr>
                <w:ilvl w:val="0"/>
                <w:numId w:val="27"/>
              </w:numPr>
              <w:tabs>
                <w:tab w:val="left" w:pos="1741"/>
              </w:tabs>
              <w:rPr>
                <w:rFonts w:cs="Arial"/>
                <w:sz w:val="20"/>
                <w:szCs w:val="20"/>
              </w:rPr>
            </w:pPr>
            <w:r w:rsidRPr="009352F7">
              <w:rPr>
                <w:rFonts w:cs="Arial"/>
                <w:sz w:val="20"/>
                <w:szCs w:val="20"/>
              </w:rPr>
              <w:t>Balance and variety of assessment methods used</w:t>
            </w:r>
          </w:p>
          <w:p w:rsidR="00DE0A3A" w:rsidRPr="009352F7" w:rsidRDefault="00DE0A3A" w:rsidP="00DE0A3A">
            <w:pPr>
              <w:pStyle w:val="ListParagraph"/>
              <w:numPr>
                <w:ilvl w:val="0"/>
                <w:numId w:val="27"/>
              </w:numPr>
              <w:tabs>
                <w:tab w:val="left" w:pos="1741"/>
              </w:tabs>
              <w:rPr>
                <w:rFonts w:cs="Arial"/>
                <w:sz w:val="20"/>
                <w:szCs w:val="20"/>
              </w:rPr>
            </w:pPr>
            <w:r w:rsidRPr="009352F7">
              <w:rPr>
                <w:rFonts w:cs="Arial"/>
                <w:sz w:val="20"/>
                <w:szCs w:val="20"/>
              </w:rPr>
              <w:t>The reliability of assessing learning outcomes</w:t>
            </w:r>
          </w:p>
          <w:p w:rsidR="00DE0A3A" w:rsidRPr="009352F7" w:rsidRDefault="00DE0A3A" w:rsidP="00DE0A3A">
            <w:pPr>
              <w:pStyle w:val="ListParagraph"/>
              <w:numPr>
                <w:ilvl w:val="0"/>
                <w:numId w:val="27"/>
              </w:numPr>
              <w:tabs>
                <w:tab w:val="left" w:pos="1741"/>
              </w:tabs>
              <w:rPr>
                <w:rFonts w:cs="Arial"/>
                <w:sz w:val="20"/>
                <w:szCs w:val="20"/>
              </w:rPr>
            </w:pPr>
            <w:r w:rsidRPr="009352F7">
              <w:rPr>
                <w:rFonts w:cs="Arial"/>
                <w:sz w:val="20"/>
                <w:szCs w:val="20"/>
              </w:rPr>
              <w:t>Turnaround times</w:t>
            </w:r>
          </w:p>
          <w:p w:rsidR="00DE0A3A" w:rsidRPr="009352F7" w:rsidRDefault="00DE0A3A" w:rsidP="00DE0A3A">
            <w:pPr>
              <w:pStyle w:val="ListParagraph"/>
              <w:numPr>
                <w:ilvl w:val="0"/>
                <w:numId w:val="27"/>
              </w:numPr>
              <w:tabs>
                <w:tab w:val="left" w:pos="1741"/>
              </w:tabs>
              <w:rPr>
                <w:rFonts w:cs="Arial"/>
                <w:sz w:val="20"/>
                <w:szCs w:val="20"/>
              </w:rPr>
            </w:pPr>
            <w:r w:rsidRPr="009352F7">
              <w:rPr>
                <w:rFonts w:cs="Arial"/>
                <w:sz w:val="20"/>
                <w:szCs w:val="20"/>
              </w:rPr>
              <w:t>The effectiveness of systems for internal moderation</w:t>
            </w:r>
          </w:p>
          <w:p w:rsidR="00DE0A3A" w:rsidRPr="009352F7" w:rsidRDefault="00DE0A3A" w:rsidP="00DE0A3A">
            <w:pPr>
              <w:pStyle w:val="ListParagraph"/>
              <w:numPr>
                <w:ilvl w:val="0"/>
                <w:numId w:val="27"/>
              </w:numPr>
              <w:tabs>
                <w:tab w:val="left" w:pos="1741"/>
              </w:tabs>
              <w:rPr>
                <w:rFonts w:cs="Arial"/>
                <w:sz w:val="20"/>
                <w:szCs w:val="20"/>
              </w:rPr>
            </w:pPr>
            <w:r w:rsidRPr="009352F7">
              <w:rPr>
                <w:rFonts w:cs="Arial"/>
                <w:sz w:val="20"/>
                <w:szCs w:val="20"/>
              </w:rPr>
              <w:t>The effectiveness of the arrangements for making sure students receive feedback and feed-forward on summative and formative assessment</w:t>
            </w:r>
          </w:p>
          <w:p w:rsidR="00DE0A3A" w:rsidRPr="009352F7" w:rsidRDefault="00DE0A3A" w:rsidP="00DE0A3A">
            <w:pPr>
              <w:pStyle w:val="ListParagraph"/>
              <w:numPr>
                <w:ilvl w:val="0"/>
                <w:numId w:val="27"/>
              </w:numPr>
              <w:tabs>
                <w:tab w:val="left" w:pos="1741"/>
              </w:tabs>
              <w:rPr>
                <w:rFonts w:cs="Arial"/>
                <w:sz w:val="20"/>
                <w:szCs w:val="20"/>
              </w:rPr>
            </w:pPr>
            <w:r w:rsidRPr="009352F7">
              <w:rPr>
                <w:rFonts w:cs="Arial"/>
                <w:sz w:val="20"/>
                <w:szCs w:val="20"/>
              </w:rPr>
              <w:t xml:space="preserve">The views of external examiners </w:t>
            </w:r>
          </w:p>
        </w:tc>
      </w:tr>
      <w:tr w:rsidR="00DE0A3A" w:rsidRPr="009352F7" w:rsidTr="009D2A03">
        <w:trPr>
          <w:jc w:val="center"/>
        </w:trPr>
        <w:tc>
          <w:tcPr>
            <w:tcW w:w="4425" w:type="dxa"/>
            <w:shd w:val="clear" w:color="auto" w:fill="C9C9C9" w:themeFill="accent3" w:themeFillTint="99"/>
          </w:tcPr>
          <w:p w:rsidR="00DE0A3A" w:rsidRPr="009352F7" w:rsidRDefault="00DE0A3A" w:rsidP="009D2A03">
            <w:pPr>
              <w:tabs>
                <w:tab w:val="left" w:pos="1741"/>
              </w:tabs>
              <w:rPr>
                <w:rFonts w:cs="Arial"/>
                <w:b/>
                <w:sz w:val="20"/>
                <w:szCs w:val="20"/>
              </w:rPr>
            </w:pPr>
            <w:r w:rsidRPr="009352F7">
              <w:rPr>
                <w:rFonts w:cs="Arial"/>
                <w:b/>
                <w:sz w:val="20"/>
                <w:szCs w:val="20"/>
              </w:rPr>
              <w:t>Learning &amp; Teaching</w:t>
            </w:r>
          </w:p>
        </w:tc>
        <w:tc>
          <w:tcPr>
            <w:tcW w:w="4591" w:type="dxa"/>
            <w:shd w:val="clear" w:color="auto" w:fill="C9C9C9" w:themeFill="accent3" w:themeFillTint="99"/>
          </w:tcPr>
          <w:p w:rsidR="00DE0A3A" w:rsidRPr="009352F7" w:rsidRDefault="00DE0A3A" w:rsidP="009D2A03">
            <w:pPr>
              <w:tabs>
                <w:tab w:val="left" w:pos="1741"/>
              </w:tabs>
              <w:rPr>
                <w:rFonts w:cs="Arial"/>
                <w:b/>
                <w:sz w:val="20"/>
                <w:szCs w:val="20"/>
              </w:rPr>
            </w:pPr>
            <w:r w:rsidRPr="009352F7">
              <w:rPr>
                <w:rFonts w:cs="Arial"/>
                <w:b/>
                <w:sz w:val="20"/>
                <w:szCs w:val="20"/>
              </w:rPr>
              <w:t>Student outcomes</w:t>
            </w:r>
          </w:p>
        </w:tc>
      </w:tr>
      <w:tr w:rsidR="00DE0A3A" w:rsidRPr="009352F7" w:rsidTr="009D2A03">
        <w:trPr>
          <w:jc w:val="center"/>
        </w:trPr>
        <w:tc>
          <w:tcPr>
            <w:tcW w:w="4425" w:type="dxa"/>
          </w:tcPr>
          <w:p w:rsidR="00DE0A3A" w:rsidRPr="009352F7" w:rsidRDefault="00DE0A3A" w:rsidP="00DE0A3A">
            <w:pPr>
              <w:pStyle w:val="ListParagraph"/>
              <w:numPr>
                <w:ilvl w:val="0"/>
                <w:numId w:val="24"/>
              </w:numPr>
              <w:tabs>
                <w:tab w:val="left" w:pos="1741"/>
              </w:tabs>
              <w:rPr>
                <w:rFonts w:cs="Arial"/>
                <w:sz w:val="20"/>
                <w:szCs w:val="20"/>
              </w:rPr>
            </w:pPr>
            <w:r w:rsidRPr="009352F7">
              <w:rPr>
                <w:rFonts w:cs="Arial"/>
                <w:sz w:val="20"/>
                <w:szCs w:val="20"/>
              </w:rPr>
              <w:t>The effectiveness of learning and teaching methods</w:t>
            </w:r>
          </w:p>
          <w:p w:rsidR="00DE0A3A" w:rsidRPr="009352F7" w:rsidRDefault="00DE0A3A" w:rsidP="00DE0A3A">
            <w:pPr>
              <w:pStyle w:val="ListParagraph"/>
              <w:numPr>
                <w:ilvl w:val="0"/>
                <w:numId w:val="24"/>
              </w:numPr>
              <w:tabs>
                <w:tab w:val="left" w:pos="1741"/>
              </w:tabs>
              <w:rPr>
                <w:rFonts w:cs="Arial"/>
                <w:sz w:val="20"/>
                <w:szCs w:val="20"/>
              </w:rPr>
            </w:pPr>
            <w:r w:rsidRPr="009352F7">
              <w:rPr>
                <w:rFonts w:cs="Arial"/>
                <w:sz w:val="20"/>
                <w:szCs w:val="20"/>
              </w:rPr>
              <w:t>The fitness for purpose of on-line materials</w:t>
            </w:r>
          </w:p>
          <w:p w:rsidR="00DE0A3A" w:rsidRPr="009352F7" w:rsidRDefault="00DE0A3A" w:rsidP="00DE0A3A">
            <w:pPr>
              <w:pStyle w:val="ListParagraph"/>
              <w:numPr>
                <w:ilvl w:val="0"/>
                <w:numId w:val="24"/>
              </w:numPr>
              <w:tabs>
                <w:tab w:val="left" w:pos="1741"/>
              </w:tabs>
              <w:rPr>
                <w:rFonts w:cs="Arial"/>
                <w:sz w:val="20"/>
                <w:szCs w:val="20"/>
              </w:rPr>
            </w:pPr>
            <w:r w:rsidRPr="009352F7">
              <w:rPr>
                <w:rFonts w:cs="Arial"/>
                <w:sz w:val="20"/>
                <w:szCs w:val="20"/>
              </w:rPr>
              <w:t>Measures to ensure that the curriculum is inclusive</w:t>
            </w:r>
          </w:p>
          <w:p w:rsidR="00DE0A3A" w:rsidRPr="009352F7" w:rsidRDefault="00DE0A3A" w:rsidP="009D2A03">
            <w:pPr>
              <w:tabs>
                <w:tab w:val="left" w:pos="1741"/>
              </w:tabs>
              <w:rPr>
                <w:rFonts w:cs="Arial"/>
                <w:sz w:val="20"/>
                <w:szCs w:val="20"/>
              </w:rPr>
            </w:pPr>
          </w:p>
        </w:tc>
        <w:tc>
          <w:tcPr>
            <w:tcW w:w="4591" w:type="dxa"/>
          </w:tcPr>
          <w:p w:rsidR="00DE0A3A" w:rsidRPr="009352F7" w:rsidRDefault="00DE0A3A" w:rsidP="00DE0A3A">
            <w:pPr>
              <w:pStyle w:val="ListParagraph"/>
              <w:numPr>
                <w:ilvl w:val="0"/>
                <w:numId w:val="29"/>
              </w:numPr>
              <w:tabs>
                <w:tab w:val="left" w:pos="1741"/>
              </w:tabs>
              <w:rPr>
                <w:rFonts w:cs="Arial"/>
                <w:sz w:val="20"/>
                <w:szCs w:val="20"/>
              </w:rPr>
            </w:pPr>
            <w:r w:rsidRPr="009352F7">
              <w:rPr>
                <w:rFonts w:cs="Arial"/>
                <w:sz w:val="20"/>
                <w:szCs w:val="20"/>
              </w:rPr>
              <w:t>Progression rates from year to year</w:t>
            </w:r>
          </w:p>
          <w:p w:rsidR="00DE0A3A" w:rsidRPr="009352F7" w:rsidRDefault="00DE0A3A" w:rsidP="00DE0A3A">
            <w:pPr>
              <w:pStyle w:val="ListParagraph"/>
              <w:numPr>
                <w:ilvl w:val="0"/>
                <w:numId w:val="29"/>
              </w:numPr>
              <w:tabs>
                <w:tab w:val="left" w:pos="1741"/>
              </w:tabs>
              <w:rPr>
                <w:rFonts w:cs="Arial"/>
                <w:b/>
                <w:sz w:val="20"/>
                <w:szCs w:val="20"/>
              </w:rPr>
            </w:pPr>
            <w:r w:rsidRPr="009352F7">
              <w:rPr>
                <w:rFonts w:cs="Arial"/>
                <w:sz w:val="20"/>
                <w:szCs w:val="20"/>
              </w:rPr>
              <w:t>resit rates</w:t>
            </w:r>
          </w:p>
          <w:p w:rsidR="00DE0A3A" w:rsidRPr="009352F7" w:rsidRDefault="00DE0A3A" w:rsidP="00DE0A3A">
            <w:pPr>
              <w:pStyle w:val="ListParagraph"/>
              <w:numPr>
                <w:ilvl w:val="0"/>
                <w:numId w:val="29"/>
              </w:numPr>
              <w:tabs>
                <w:tab w:val="left" w:pos="1741"/>
              </w:tabs>
              <w:rPr>
                <w:rFonts w:cs="Arial"/>
                <w:b/>
                <w:sz w:val="20"/>
                <w:szCs w:val="20"/>
              </w:rPr>
            </w:pPr>
            <w:r w:rsidRPr="009352F7">
              <w:rPr>
                <w:rFonts w:cs="Arial"/>
                <w:sz w:val="20"/>
                <w:szCs w:val="20"/>
              </w:rPr>
              <w:t>Performance of students in different types of assessment</w:t>
            </w:r>
          </w:p>
          <w:p w:rsidR="00DE0A3A" w:rsidRPr="009352F7" w:rsidRDefault="00DE0A3A" w:rsidP="00DE0A3A">
            <w:pPr>
              <w:pStyle w:val="ListParagraph"/>
              <w:numPr>
                <w:ilvl w:val="0"/>
                <w:numId w:val="29"/>
              </w:numPr>
              <w:tabs>
                <w:tab w:val="left" w:pos="1741"/>
              </w:tabs>
              <w:rPr>
                <w:rFonts w:cs="Arial"/>
                <w:b/>
                <w:sz w:val="20"/>
                <w:szCs w:val="20"/>
              </w:rPr>
            </w:pPr>
            <w:r w:rsidRPr="009352F7">
              <w:rPr>
                <w:rFonts w:cs="Arial"/>
                <w:sz w:val="20"/>
                <w:szCs w:val="20"/>
              </w:rPr>
              <w:t>Proportion of good honours degrees/merits/distinctions awarded</w:t>
            </w:r>
          </w:p>
          <w:p w:rsidR="00DE0A3A" w:rsidRPr="009352F7" w:rsidRDefault="00DE0A3A" w:rsidP="00DE0A3A">
            <w:pPr>
              <w:pStyle w:val="ListParagraph"/>
              <w:numPr>
                <w:ilvl w:val="0"/>
                <w:numId w:val="29"/>
              </w:numPr>
              <w:tabs>
                <w:tab w:val="left" w:pos="1741"/>
              </w:tabs>
              <w:rPr>
                <w:rFonts w:cs="Arial"/>
                <w:b/>
                <w:sz w:val="20"/>
                <w:szCs w:val="20"/>
              </w:rPr>
            </w:pPr>
            <w:r w:rsidRPr="009352F7">
              <w:rPr>
                <w:rFonts w:cs="Arial"/>
                <w:sz w:val="20"/>
                <w:szCs w:val="20"/>
              </w:rPr>
              <w:t>Effectiveness of measures to reduce the attainment gap</w:t>
            </w:r>
          </w:p>
        </w:tc>
      </w:tr>
      <w:tr w:rsidR="00DE0A3A" w:rsidRPr="009352F7" w:rsidTr="009D2A03">
        <w:trPr>
          <w:jc w:val="center"/>
        </w:trPr>
        <w:tc>
          <w:tcPr>
            <w:tcW w:w="4425" w:type="dxa"/>
            <w:shd w:val="clear" w:color="auto" w:fill="C9C9C9" w:themeFill="accent3" w:themeFillTint="99"/>
          </w:tcPr>
          <w:p w:rsidR="00DE0A3A" w:rsidRPr="009352F7" w:rsidRDefault="00DE0A3A" w:rsidP="009D2A03">
            <w:pPr>
              <w:tabs>
                <w:tab w:val="left" w:pos="1741"/>
              </w:tabs>
              <w:rPr>
                <w:rFonts w:cs="Arial"/>
                <w:b/>
                <w:sz w:val="20"/>
                <w:szCs w:val="20"/>
              </w:rPr>
            </w:pPr>
            <w:r w:rsidRPr="009352F7">
              <w:rPr>
                <w:rFonts w:cs="Arial"/>
                <w:b/>
                <w:sz w:val="20"/>
                <w:szCs w:val="20"/>
              </w:rPr>
              <w:t>Resources</w:t>
            </w:r>
          </w:p>
        </w:tc>
        <w:tc>
          <w:tcPr>
            <w:tcW w:w="4591" w:type="dxa"/>
            <w:shd w:val="clear" w:color="auto" w:fill="C9C9C9" w:themeFill="accent3" w:themeFillTint="99"/>
          </w:tcPr>
          <w:p w:rsidR="00DE0A3A" w:rsidRPr="009352F7" w:rsidRDefault="00DE0A3A" w:rsidP="009D2A03">
            <w:pPr>
              <w:tabs>
                <w:tab w:val="left" w:pos="1741"/>
              </w:tabs>
              <w:rPr>
                <w:rFonts w:cs="Arial"/>
                <w:b/>
                <w:sz w:val="20"/>
                <w:szCs w:val="20"/>
              </w:rPr>
            </w:pPr>
            <w:r>
              <w:rPr>
                <w:rFonts w:cs="Arial"/>
                <w:b/>
                <w:sz w:val="20"/>
                <w:szCs w:val="20"/>
              </w:rPr>
              <w:t>Student Survey results</w:t>
            </w:r>
          </w:p>
        </w:tc>
      </w:tr>
      <w:tr w:rsidR="00DE0A3A" w:rsidRPr="009352F7" w:rsidTr="009D2A03">
        <w:trPr>
          <w:jc w:val="center"/>
        </w:trPr>
        <w:tc>
          <w:tcPr>
            <w:tcW w:w="4425" w:type="dxa"/>
          </w:tcPr>
          <w:p w:rsidR="00DE0A3A" w:rsidRPr="009352F7" w:rsidRDefault="00DE0A3A" w:rsidP="00DE0A3A">
            <w:pPr>
              <w:pStyle w:val="ListParagraph"/>
              <w:numPr>
                <w:ilvl w:val="0"/>
                <w:numId w:val="24"/>
              </w:numPr>
              <w:tabs>
                <w:tab w:val="left" w:pos="1741"/>
              </w:tabs>
              <w:rPr>
                <w:rFonts w:cs="Arial"/>
                <w:b/>
                <w:sz w:val="20"/>
                <w:szCs w:val="20"/>
              </w:rPr>
            </w:pPr>
            <w:r w:rsidRPr="009352F7">
              <w:rPr>
                <w:rFonts w:cs="Arial"/>
                <w:sz w:val="20"/>
                <w:szCs w:val="20"/>
              </w:rPr>
              <w:t>Change in the resource base for the course (including the departure of key staff and new arrivals)</w:t>
            </w:r>
          </w:p>
          <w:p w:rsidR="00DE0A3A" w:rsidRPr="009352F7" w:rsidRDefault="00DE0A3A" w:rsidP="00DE0A3A">
            <w:pPr>
              <w:pStyle w:val="ListParagraph"/>
              <w:numPr>
                <w:ilvl w:val="0"/>
                <w:numId w:val="24"/>
              </w:numPr>
              <w:tabs>
                <w:tab w:val="left" w:pos="1741"/>
              </w:tabs>
              <w:rPr>
                <w:rFonts w:cs="Arial"/>
                <w:b/>
                <w:sz w:val="20"/>
                <w:szCs w:val="20"/>
              </w:rPr>
            </w:pPr>
            <w:r w:rsidRPr="009352F7">
              <w:rPr>
                <w:rFonts w:cs="Arial"/>
                <w:sz w:val="20"/>
                <w:szCs w:val="20"/>
              </w:rPr>
              <w:t>Staff development issues and priorities</w:t>
            </w:r>
          </w:p>
          <w:p w:rsidR="00DE0A3A" w:rsidRPr="009352F7" w:rsidRDefault="00DE0A3A" w:rsidP="00DE0A3A">
            <w:pPr>
              <w:pStyle w:val="ListParagraph"/>
              <w:numPr>
                <w:ilvl w:val="0"/>
                <w:numId w:val="24"/>
              </w:numPr>
              <w:tabs>
                <w:tab w:val="left" w:pos="1741"/>
              </w:tabs>
              <w:rPr>
                <w:rFonts w:cs="Arial"/>
                <w:b/>
                <w:sz w:val="20"/>
                <w:szCs w:val="20"/>
              </w:rPr>
            </w:pPr>
            <w:r w:rsidRPr="009352F7">
              <w:rPr>
                <w:rFonts w:cs="Arial"/>
                <w:sz w:val="20"/>
                <w:szCs w:val="20"/>
              </w:rPr>
              <w:t>Adequacy of an access to learning resources (teaching accommodation including specialist accommodation, hardware, software, library resources, specialist equipment)</w:t>
            </w:r>
          </w:p>
          <w:p w:rsidR="00DE0A3A" w:rsidRPr="009352F7" w:rsidRDefault="00DE0A3A" w:rsidP="00DE0A3A">
            <w:pPr>
              <w:pStyle w:val="ListParagraph"/>
              <w:numPr>
                <w:ilvl w:val="0"/>
                <w:numId w:val="24"/>
              </w:numPr>
              <w:tabs>
                <w:tab w:val="left" w:pos="1741"/>
              </w:tabs>
              <w:rPr>
                <w:rFonts w:cs="Arial"/>
                <w:b/>
                <w:sz w:val="20"/>
                <w:szCs w:val="20"/>
              </w:rPr>
            </w:pPr>
            <w:r w:rsidRPr="009352F7">
              <w:rPr>
                <w:rFonts w:cs="Arial"/>
                <w:sz w:val="20"/>
                <w:szCs w:val="20"/>
              </w:rPr>
              <w:t>Access to placements (where relevant)</w:t>
            </w:r>
          </w:p>
          <w:p w:rsidR="00DE0A3A" w:rsidRPr="009352F7" w:rsidRDefault="00DE0A3A" w:rsidP="00DE0A3A">
            <w:pPr>
              <w:pStyle w:val="ListParagraph"/>
              <w:numPr>
                <w:ilvl w:val="0"/>
                <w:numId w:val="24"/>
              </w:numPr>
              <w:tabs>
                <w:tab w:val="left" w:pos="1741"/>
              </w:tabs>
              <w:rPr>
                <w:rFonts w:cs="Arial"/>
                <w:b/>
                <w:sz w:val="20"/>
                <w:szCs w:val="20"/>
              </w:rPr>
            </w:pPr>
            <w:r w:rsidRPr="009352F7">
              <w:rPr>
                <w:rFonts w:cs="Arial"/>
                <w:sz w:val="20"/>
                <w:szCs w:val="20"/>
              </w:rPr>
              <w:t xml:space="preserve">Staff achievements (FHEA/PhD </w:t>
            </w:r>
            <w:proofErr w:type="spellStart"/>
            <w:r w:rsidRPr="009352F7">
              <w:rPr>
                <w:rFonts w:cs="Arial"/>
                <w:sz w:val="20"/>
                <w:szCs w:val="20"/>
              </w:rPr>
              <w:t>etc</w:t>
            </w:r>
            <w:proofErr w:type="spellEnd"/>
            <w:r w:rsidRPr="009352F7">
              <w:rPr>
                <w:rFonts w:cs="Arial"/>
                <w:sz w:val="20"/>
                <w:szCs w:val="20"/>
              </w:rPr>
              <w:t>,)</w:t>
            </w:r>
          </w:p>
        </w:tc>
        <w:tc>
          <w:tcPr>
            <w:tcW w:w="4591" w:type="dxa"/>
          </w:tcPr>
          <w:p w:rsidR="00DE0A3A" w:rsidRPr="009352F7" w:rsidRDefault="00DE0A3A" w:rsidP="00DE0A3A">
            <w:pPr>
              <w:pStyle w:val="ListParagraph"/>
              <w:numPr>
                <w:ilvl w:val="0"/>
                <w:numId w:val="31"/>
              </w:numPr>
              <w:tabs>
                <w:tab w:val="left" w:pos="1741"/>
              </w:tabs>
              <w:rPr>
                <w:rFonts w:cs="Arial"/>
                <w:sz w:val="20"/>
                <w:szCs w:val="20"/>
              </w:rPr>
            </w:pPr>
            <w:r w:rsidRPr="009352F7">
              <w:rPr>
                <w:rFonts w:cs="Arial"/>
                <w:sz w:val="20"/>
                <w:szCs w:val="20"/>
              </w:rPr>
              <w:t xml:space="preserve">An analysis of the NSS results for </w:t>
            </w:r>
            <w:r>
              <w:rPr>
                <w:rFonts w:cs="Arial"/>
                <w:sz w:val="20"/>
                <w:szCs w:val="20"/>
              </w:rPr>
              <w:t>2019</w:t>
            </w:r>
            <w:r w:rsidRPr="009352F7">
              <w:rPr>
                <w:rFonts w:cs="Arial"/>
                <w:sz w:val="20"/>
                <w:szCs w:val="20"/>
              </w:rPr>
              <w:t xml:space="preserve"> and how they compare with previous years</w:t>
            </w:r>
          </w:p>
          <w:p w:rsidR="00DE0A3A" w:rsidRPr="009352F7" w:rsidRDefault="00DE0A3A" w:rsidP="00DE0A3A">
            <w:pPr>
              <w:pStyle w:val="ListParagraph"/>
              <w:numPr>
                <w:ilvl w:val="0"/>
                <w:numId w:val="31"/>
              </w:numPr>
              <w:tabs>
                <w:tab w:val="left" w:pos="1741"/>
              </w:tabs>
              <w:rPr>
                <w:rFonts w:cs="Arial"/>
                <w:sz w:val="20"/>
                <w:szCs w:val="20"/>
              </w:rPr>
            </w:pPr>
            <w:r w:rsidRPr="009352F7">
              <w:rPr>
                <w:rFonts w:cs="Arial"/>
                <w:sz w:val="20"/>
                <w:szCs w:val="20"/>
              </w:rPr>
              <w:t>An indication of whether actions taken in the past have had a bearing on the most recent results</w:t>
            </w:r>
          </w:p>
          <w:p w:rsidR="00DE0A3A" w:rsidRPr="00A53008" w:rsidRDefault="00DE0A3A" w:rsidP="009D2A03">
            <w:pPr>
              <w:tabs>
                <w:tab w:val="left" w:pos="1741"/>
              </w:tabs>
              <w:rPr>
                <w:rFonts w:cs="Arial"/>
                <w:sz w:val="20"/>
                <w:szCs w:val="20"/>
              </w:rPr>
            </w:pPr>
          </w:p>
        </w:tc>
      </w:tr>
      <w:tr w:rsidR="00DE0A3A" w:rsidRPr="009352F7" w:rsidTr="009D2A03">
        <w:trPr>
          <w:jc w:val="center"/>
        </w:trPr>
        <w:tc>
          <w:tcPr>
            <w:tcW w:w="4425" w:type="dxa"/>
            <w:shd w:val="clear" w:color="auto" w:fill="C9C9C9" w:themeFill="accent3" w:themeFillTint="99"/>
          </w:tcPr>
          <w:p w:rsidR="00DE0A3A" w:rsidRPr="009352F7" w:rsidRDefault="00DE0A3A" w:rsidP="009D2A03">
            <w:pPr>
              <w:tabs>
                <w:tab w:val="left" w:pos="1741"/>
              </w:tabs>
              <w:rPr>
                <w:rFonts w:cs="Arial"/>
                <w:b/>
                <w:sz w:val="20"/>
                <w:szCs w:val="20"/>
              </w:rPr>
            </w:pPr>
            <w:r w:rsidRPr="009352F7">
              <w:rPr>
                <w:rFonts w:cs="Arial"/>
                <w:b/>
                <w:sz w:val="20"/>
                <w:szCs w:val="20"/>
              </w:rPr>
              <w:t>Quality Assurance</w:t>
            </w:r>
          </w:p>
        </w:tc>
        <w:tc>
          <w:tcPr>
            <w:tcW w:w="4591" w:type="dxa"/>
            <w:shd w:val="clear" w:color="auto" w:fill="C9C9C9" w:themeFill="accent3" w:themeFillTint="99"/>
          </w:tcPr>
          <w:p w:rsidR="00DE0A3A" w:rsidRPr="009352F7" w:rsidRDefault="00DE0A3A" w:rsidP="009D2A03">
            <w:pPr>
              <w:tabs>
                <w:tab w:val="left" w:pos="1741"/>
              </w:tabs>
              <w:rPr>
                <w:rFonts w:cs="Arial"/>
                <w:b/>
                <w:sz w:val="20"/>
                <w:szCs w:val="20"/>
              </w:rPr>
            </w:pPr>
            <w:r w:rsidRPr="009352F7">
              <w:rPr>
                <w:rFonts w:cs="Arial"/>
                <w:b/>
                <w:sz w:val="20"/>
                <w:szCs w:val="20"/>
              </w:rPr>
              <w:t>Professional, Statutory &amp; Regulatory Bodies (PSRBs)</w:t>
            </w:r>
          </w:p>
        </w:tc>
      </w:tr>
      <w:tr w:rsidR="00DE0A3A" w:rsidRPr="009352F7" w:rsidTr="009D2A03">
        <w:trPr>
          <w:jc w:val="center"/>
        </w:trPr>
        <w:tc>
          <w:tcPr>
            <w:tcW w:w="4425" w:type="dxa"/>
          </w:tcPr>
          <w:p w:rsidR="00DE0A3A" w:rsidRPr="009352F7" w:rsidRDefault="00DE0A3A" w:rsidP="00DE0A3A">
            <w:pPr>
              <w:pStyle w:val="ListParagraph"/>
              <w:numPr>
                <w:ilvl w:val="0"/>
                <w:numId w:val="26"/>
              </w:numPr>
              <w:tabs>
                <w:tab w:val="left" w:pos="1741"/>
              </w:tabs>
              <w:rPr>
                <w:rFonts w:cs="Arial"/>
                <w:sz w:val="20"/>
                <w:szCs w:val="20"/>
              </w:rPr>
            </w:pPr>
            <w:r w:rsidRPr="009352F7">
              <w:rPr>
                <w:rFonts w:cs="Arial"/>
                <w:sz w:val="20"/>
                <w:szCs w:val="20"/>
              </w:rPr>
              <w:t>Update on action plans from periodic review where appropriate</w:t>
            </w:r>
          </w:p>
        </w:tc>
        <w:tc>
          <w:tcPr>
            <w:tcW w:w="4591" w:type="dxa"/>
          </w:tcPr>
          <w:p w:rsidR="00DE0A3A" w:rsidRPr="009352F7" w:rsidRDefault="00DE0A3A" w:rsidP="00DE0A3A">
            <w:pPr>
              <w:pStyle w:val="ListParagraph"/>
              <w:numPr>
                <w:ilvl w:val="0"/>
                <w:numId w:val="28"/>
              </w:numPr>
              <w:tabs>
                <w:tab w:val="left" w:pos="1741"/>
              </w:tabs>
              <w:rPr>
                <w:rFonts w:cs="Arial"/>
                <w:sz w:val="20"/>
                <w:szCs w:val="20"/>
              </w:rPr>
            </w:pPr>
            <w:r w:rsidRPr="009352F7">
              <w:rPr>
                <w:rFonts w:cs="Arial"/>
                <w:sz w:val="20"/>
                <w:szCs w:val="20"/>
              </w:rPr>
              <w:t xml:space="preserve">Any new or anticipatory changes from </w:t>
            </w:r>
            <w:r>
              <w:rPr>
                <w:rFonts w:cs="Arial"/>
                <w:sz w:val="20"/>
                <w:szCs w:val="20"/>
              </w:rPr>
              <w:t>relevant</w:t>
            </w:r>
            <w:r w:rsidRPr="009352F7">
              <w:rPr>
                <w:rFonts w:cs="Arial"/>
                <w:sz w:val="20"/>
                <w:szCs w:val="20"/>
              </w:rPr>
              <w:t xml:space="preserve"> PSRB</w:t>
            </w:r>
          </w:p>
          <w:p w:rsidR="00DE0A3A" w:rsidRPr="009352F7" w:rsidRDefault="00DE0A3A" w:rsidP="00DE0A3A">
            <w:pPr>
              <w:pStyle w:val="ListParagraph"/>
              <w:numPr>
                <w:ilvl w:val="0"/>
                <w:numId w:val="28"/>
              </w:numPr>
              <w:tabs>
                <w:tab w:val="left" w:pos="1741"/>
              </w:tabs>
              <w:rPr>
                <w:rFonts w:cs="Arial"/>
                <w:sz w:val="20"/>
                <w:szCs w:val="20"/>
              </w:rPr>
            </w:pPr>
            <w:r w:rsidRPr="009352F7">
              <w:rPr>
                <w:rFonts w:cs="Arial"/>
                <w:sz w:val="20"/>
                <w:szCs w:val="20"/>
              </w:rPr>
              <w:t>Continued compliance with the expectations of PSRBs</w:t>
            </w:r>
          </w:p>
        </w:tc>
      </w:tr>
      <w:tr w:rsidR="00DE0A3A" w:rsidRPr="009352F7" w:rsidTr="009D2A03">
        <w:tblPrEx>
          <w:jc w:val="left"/>
        </w:tblPrEx>
        <w:tc>
          <w:tcPr>
            <w:tcW w:w="9016" w:type="dxa"/>
            <w:gridSpan w:val="2"/>
            <w:shd w:val="clear" w:color="auto" w:fill="D9D9D9" w:themeFill="background1" w:themeFillShade="D9"/>
          </w:tcPr>
          <w:p w:rsidR="00DE0A3A" w:rsidRPr="009352F7" w:rsidRDefault="00DE0A3A" w:rsidP="009D2A03">
            <w:pPr>
              <w:tabs>
                <w:tab w:val="left" w:pos="1741"/>
              </w:tabs>
              <w:rPr>
                <w:rFonts w:cs="Arial"/>
                <w:sz w:val="20"/>
                <w:szCs w:val="20"/>
              </w:rPr>
            </w:pPr>
            <w:r w:rsidRPr="009352F7">
              <w:rPr>
                <w:rFonts w:cs="Arial"/>
                <w:b/>
                <w:sz w:val="20"/>
                <w:szCs w:val="20"/>
              </w:rPr>
              <w:t>DLHE and Employability</w:t>
            </w:r>
          </w:p>
        </w:tc>
      </w:tr>
      <w:tr w:rsidR="00DE0A3A" w:rsidRPr="009352F7" w:rsidTr="009D2A03">
        <w:tblPrEx>
          <w:jc w:val="left"/>
        </w:tblPrEx>
        <w:tc>
          <w:tcPr>
            <w:tcW w:w="9016" w:type="dxa"/>
            <w:gridSpan w:val="2"/>
          </w:tcPr>
          <w:p w:rsidR="00DE0A3A" w:rsidRPr="009352F7" w:rsidRDefault="00DE0A3A" w:rsidP="00DE0A3A">
            <w:pPr>
              <w:pStyle w:val="ListParagraph"/>
              <w:numPr>
                <w:ilvl w:val="0"/>
                <w:numId w:val="25"/>
              </w:numPr>
              <w:tabs>
                <w:tab w:val="left" w:pos="1741"/>
              </w:tabs>
              <w:rPr>
                <w:rFonts w:cs="Arial"/>
                <w:b/>
                <w:sz w:val="20"/>
                <w:szCs w:val="20"/>
              </w:rPr>
            </w:pPr>
            <w:r w:rsidRPr="009352F7">
              <w:rPr>
                <w:rFonts w:cs="Arial"/>
                <w:sz w:val="20"/>
                <w:szCs w:val="20"/>
              </w:rPr>
              <w:t>A commentary on the most recent DLHE results</w:t>
            </w:r>
          </w:p>
          <w:p w:rsidR="00DE0A3A" w:rsidRPr="009352F7" w:rsidRDefault="00DE0A3A" w:rsidP="00DE0A3A">
            <w:pPr>
              <w:pStyle w:val="ListParagraph"/>
              <w:numPr>
                <w:ilvl w:val="0"/>
                <w:numId w:val="25"/>
              </w:numPr>
              <w:tabs>
                <w:tab w:val="left" w:pos="1741"/>
              </w:tabs>
              <w:rPr>
                <w:rFonts w:cs="Arial"/>
                <w:b/>
                <w:sz w:val="20"/>
                <w:szCs w:val="20"/>
              </w:rPr>
            </w:pPr>
            <w:r w:rsidRPr="009352F7">
              <w:rPr>
                <w:rFonts w:cs="Arial"/>
                <w:sz w:val="20"/>
                <w:szCs w:val="20"/>
              </w:rPr>
              <w:t>Comments on curricula and extra-curricular activities to enhance the employability of graduates</w:t>
            </w:r>
          </w:p>
        </w:tc>
      </w:tr>
    </w:tbl>
    <w:p w:rsidR="00DE0A3A" w:rsidRPr="009352F7" w:rsidRDefault="00DE0A3A" w:rsidP="00DE0A3A">
      <w:pPr>
        <w:rPr>
          <w:rFonts w:cs="Arial"/>
          <w:b/>
          <w:sz w:val="20"/>
          <w:szCs w:val="20"/>
        </w:rPr>
      </w:pPr>
    </w:p>
    <w:p w:rsidR="00DE0A3A" w:rsidRPr="009352F7" w:rsidRDefault="00DE0A3A" w:rsidP="00DE0A3A">
      <w:pPr>
        <w:rPr>
          <w:rFonts w:cs="Arial"/>
          <w:sz w:val="20"/>
          <w:szCs w:val="20"/>
        </w:rPr>
      </w:pPr>
    </w:p>
    <w:p w:rsidR="000C0F5F" w:rsidRDefault="000C0F5F" w:rsidP="000C0F5F">
      <w:pPr>
        <w:jc w:val="right"/>
        <w:rPr>
          <w:rFonts w:cs="Arial"/>
          <w:b/>
        </w:rPr>
      </w:pPr>
      <w:r>
        <w:rPr>
          <w:rFonts w:cs="Arial"/>
          <w:b/>
        </w:rPr>
        <w:lastRenderedPageBreak/>
        <w:t>Appendix 2</w:t>
      </w:r>
    </w:p>
    <w:p w:rsidR="000C0F5F" w:rsidRDefault="000C0F5F" w:rsidP="000C0F5F">
      <w:pPr>
        <w:jc w:val="right"/>
        <w:rPr>
          <w:rFonts w:cs="Arial"/>
          <w:b/>
        </w:rPr>
      </w:pPr>
    </w:p>
    <w:p w:rsidR="00DE0A3A" w:rsidRPr="00013C8E" w:rsidRDefault="00DE0A3A" w:rsidP="00DE0A3A">
      <w:pPr>
        <w:rPr>
          <w:rFonts w:cs="Arial"/>
          <w:b/>
        </w:rPr>
      </w:pPr>
      <w:r w:rsidRPr="00013C8E">
        <w:rPr>
          <w:rFonts w:cs="Arial"/>
          <w:b/>
        </w:rPr>
        <w:t>Annual Course Review School level report template</w:t>
      </w:r>
    </w:p>
    <w:p w:rsidR="00DE0A3A" w:rsidRPr="00013C8E" w:rsidRDefault="00DE0A3A" w:rsidP="00DE0A3A">
      <w:pPr>
        <w:rPr>
          <w:rFonts w:cs="Arial"/>
          <w:b/>
        </w:rPr>
      </w:pPr>
    </w:p>
    <w:tbl>
      <w:tblPr>
        <w:tblStyle w:val="TableGrid"/>
        <w:tblW w:w="0" w:type="auto"/>
        <w:tblLook w:val="04A0" w:firstRow="1" w:lastRow="0" w:firstColumn="1" w:lastColumn="0" w:noHBand="0" w:noVBand="1"/>
      </w:tblPr>
      <w:tblGrid>
        <w:gridCol w:w="2972"/>
        <w:gridCol w:w="6044"/>
      </w:tblGrid>
      <w:tr w:rsidR="00DE0A3A" w:rsidRPr="00013C8E" w:rsidTr="009D2A03">
        <w:tc>
          <w:tcPr>
            <w:tcW w:w="2972" w:type="dxa"/>
          </w:tcPr>
          <w:p w:rsidR="00DE0A3A" w:rsidRPr="00013C8E" w:rsidRDefault="00DE0A3A" w:rsidP="009D2A03">
            <w:pPr>
              <w:rPr>
                <w:rFonts w:cs="Arial"/>
                <w:b/>
              </w:rPr>
            </w:pPr>
            <w:r w:rsidRPr="00013C8E">
              <w:rPr>
                <w:rFonts w:cs="Arial"/>
                <w:b/>
              </w:rPr>
              <w:t>Academic session:</w:t>
            </w:r>
          </w:p>
          <w:p w:rsidR="00DE0A3A" w:rsidRPr="00013C8E" w:rsidRDefault="00DE0A3A" w:rsidP="009D2A03">
            <w:pPr>
              <w:rPr>
                <w:rFonts w:cs="Arial"/>
                <w:b/>
              </w:rPr>
            </w:pPr>
          </w:p>
        </w:tc>
        <w:tc>
          <w:tcPr>
            <w:tcW w:w="6044" w:type="dxa"/>
          </w:tcPr>
          <w:p w:rsidR="00DE0A3A" w:rsidRPr="00013C8E" w:rsidRDefault="00DE0A3A" w:rsidP="009D2A03">
            <w:pPr>
              <w:rPr>
                <w:rFonts w:cs="Arial"/>
                <w:b/>
              </w:rPr>
            </w:pPr>
          </w:p>
        </w:tc>
      </w:tr>
      <w:tr w:rsidR="00DE0A3A" w:rsidRPr="00013C8E" w:rsidTr="009D2A03">
        <w:tc>
          <w:tcPr>
            <w:tcW w:w="2972" w:type="dxa"/>
          </w:tcPr>
          <w:p w:rsidR="00DE0A3A" w:rsidRPr="00013C8E" w:rsidRDefault="00DE0A3A" w:rsidP="009D2A03">
            <w:pPr>
              <w:rPr>
                <w:rFonts w:cs="Arial"/>
                <w:b/>
              </w:rPr>
            </w:pPr>
            <w:r w:rsidRPr="00013C8E">
              <w:rPr>
                <w:rFonts w:cs="Arial"/>
                <w:b/>
              </w:rPr>
              <w:t>Name of School:</w:t>
            </w:r>
          </w:p>
          <w:p w:rsidR="00DE0A3A" w:rsidRPr="00013C8E" w:rsidRDefault="00DE0A3A" w:rsidP="009D2A03">
            <w:pPr>
              <w:rPr>
                <w:rFonts w:cs="Arial"/>
                <w:b/>
              </w:rPr>
            </w:pPr>
          </w:p>
        </w:tc>
        <w:tc>
          <w:tcPr>
            <w:tcW w:w="6044" w:type="dxa"/>
          </w:tcPr>
          <w:p w:rsidR="00DE0A3A" w:rsidRPr="00013C8E" w:rsidRDefault="00DE0A3A" w:rsidP="009D2A03">
            <w:pPr>
              <w:rPr>
                <w:rFonts w:cs="Arial"/>
                <w:b/>
              </w:rPr>
            </w:pPr>
          </w:p>
        </w:tc>
      </w:tr>
      <w:tr w:rsidR="00DE0A3A" w:rsidRPr="00013C8E" w:rsidTr="009D2A03">
        <w:tc>
          <w:tcPr>
            <w:tcW w:w="2972" w:type="dxa"/>
          </w:tcPr>
          <w:p w:rsidR="00DE0A3A" w:rsidRPr="00013C8E" w:rsidRDefault="00DE0A3A" w:rsidP="009D2A03">
            <w:pPr>
              <w:rPr>
                <w:rFonts w:cs="Arial"/>
                <w:b/>
              </w:rPr>
            </w:pPr>
            <w:r w:rsidRPr="00013C8E">
              <w:rPr>
                <w:rFonts w:cs="Arial"/>
                <w:b/>
              </w:rPr>
              <w:t>Author:</w:t>
            </w:r>
          </w:p>
        </w:tc>
        <w:tc>
          <w:tcPr>
            <w:tcW w:w="6044" w:type="dxa"/>
          </w:tcPr>
          <w:p w:rsidR="00DE0A3A" w:rsidRPr="00013C8E" w:rsidRDefault="00DE0A3A" w:rsidP="009D2A03">
            <w:pPr>
              <w:rPr>
                <w:rFonts w:cs="Arial"/>
                <w:b/>
              </w:rPr>
            </w:pPr>
          </w:p>
          <w:p w:rsidR="00DE0A3A" w:rsidRPr="00013C8E" w:rsidRDefault="00DE0A3A" w:rsidP="009D2A03">
            <w:pPr>
              <w:rPr>
                <w:rFonts w:cs="Arial"/>
                <w:b/>
              </w:rPr>
            </w:pPr>
          </w:p>
        </w:tc>
      </w:tr>
      <w:tr w:rsidR="00DE0A3A" w:rsidRPr="00013C8E" w:rsidTr="009D2A03">
        <w:tc>
          <w:tcPr>
            <w:tcW w:w="2972" w:type="dxa"/>
          </w:tcPr>
          <w:p w:rsidR="00DE0A3A" w:rsidRPr="00013C8E" w:rsidRDefault="00DE0A3A" w:rsidP="009D2A03">
            <w:pPr>
              <w:rPr>
                <w:rFonts w:cs="Arial"/>
                <w:b/>
              </w:rPr>
            </w:pPr>
            <w:proofErr w:type="gramStart"/>
            <w:r w:rsidRPr="00013C8E">
              <w:rPr>
                <w:rFonts w:cs="Arial"/>
                <w:b/>
              </w:rPr>
              <w:t>Have the ACR processes for the School been satisfactorily completed</w:t>
            </w:r>
            <w:proofErr w:type="gramEnd"/>
            <w:r w:rsidRPr="00013C8E">
              <w:rPr>
                <w:rFonts w:cs="Arial"/>
                <w:b/>
              </w:rPr>
              <w:t>?</w:t>
            </w:r>
          </w:p>
        </w:tc>
        <w:tc>
          <w:tcPr>
            <w:tcW w:w="6044" w:type="dxa"/>
          </w:tcPr>
          <w:p w:rsidR="00DE0A3A" w:rsidRPr="00013C8E" w:rsidRDefault="00DE0A3A" w:rsidP="009D2A03">
            <w:pPr>
              <w:rPr>
                <w:rFonts w:cs="Arial"/>
                <w:b/>
              </w:rPr>
            </w:pPr>
          </w:p>
        </w:tc>
      </w:tr>
      <w:tr w:rsidR="00DE0A3A" w:rsidRPr="00013C8E" w:rsidTr="009D2A03">
        <w:tc>
          <w:tcPr>
            <w:tcW w:w="2972" w:type="dxa"/>
          </w:tcPr>
          <w:p w:rsidR="00DE0A3A" w:rsidRPr="00013C8E" w:rsidRDefault="00DE0A3A" w:rsidP="009D2A03">
            <w:pPr>
              <w:rPr>
                <w:rFonts w:cs="Arial"/>
                <w:b/>
              </w:rPr>
            </w:pPr>
            <w:r w:rsidRPr="00013C8E">
              <w:rPr>
                <w:rFonts w:cs="Arial"/>
                <w:b/>
              </w:rPr>
              <w:t>ACR approved by:</w:t>
            </w:r>
          </w:p>
          <w:p w:rsidR="00DE0A3A" w:rsidRPr="00013C8E" w:rsidRDefault="00DE0A3A" w:rsidP="009D2A03">
            <w:pPr>
              <w:rPr>
                <w:rFonts w:cs="Arial"/>
                <w:b/>
              </w:rPr>
            </w:pPr>
          </w:p>
        </w:tc>
        <w:tc>
          <w:tcPr>
            <w:tcW w:w="6044" w:type="dxa"/>
          </w:tcPr>
          <w:p w:rsidR="00DE0A3A" w:rsidRPr="00013C8E" w:rsidRDefault="00DE0A3A" w:rsidP="009D2A03">
            <w:pPr>
              <w:rPr>
                <w:rFonts w:cs="Arial"/>
                <w:b/>
              </w:rPr>
            </w:pPr>
          </w:p>
        </w:tc>
      </w:tr>
    </w:tbl>
    <w:p w:rsidR="00DE0A3A" w:rsidRPr="00013C8E" w:rsidRDefault="00DE0A3A" w:rsidP="00DE0A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E0A3A" w:rsidRPr="00013C8E" w:rsidTr="009D2A03">
        <w:tc>
          <w:tcPr>
            <w:tcW w:w="9016" w:type="dxa"/>
            <w:shd w:val="clear" w:color="auto" w:fill="F2F2F2"/>
          </w:tcPr>
          <w:p w:rsidR="00DE0A3A" w:rsidRPr="00013C8E" w:rsidRDefault="00DE0A3A" w:rsidP="009D2A03">
            <w:pPr>
              <w:rPr>
                <w:rFonts w:cs="Arial"/>
                <w:b/>
              </w:rPr>
            </w:pPr>
            <w:r w:rsidRPr="00013C8E">
              <w:rPr>
                <w:rFonts w:cs="Arial"/>
                <w:b/>
              </w:rPr>
              <w:t>Effective practice</w:t>
            </w:r>
          </w:p>
        </w:tc>
      </w:tr>
      <w:tr w:rsidR="00DE0A3A" w:rsidRPr="00013C8E" w:rsidTr="009D2A03">
        <w:tc>
          <w:tcPr>
            <w:tcW w:w="9016" w:type="dxa"/>
            <w:shd w:val="clear" w:color="auto" w:fill="auto"/>
          </w:tcPr>
          <w:p w:rsidR="00DE0A3A" w:rsidRPr="00013C8E" w:rsidRDefault="00DE0A3A" w:rsidP="009D2A03">
            <w:pPr>
              <w:rPr>
                <w:rFonts w:cs="Arial"/>
                <w:i/>
              </w:rPr>
            </w:pPr>
            <w:r w:rsidRPr="00013C8E">
              <w:rPr>
                <w:rFonts w:cs="Arial"/>
                <w:i/>
              </w:rPr>
              <w:t xml:space="preserve">Please identify areas of effective practice that have made a demonstrable difference to the performance of students or their experience.  Please include their source of origin and an indication of how these </w:t>
            </w:r>
            <w:proofErr w:type="gramStart"/>
            <w:r w:rsidRPr="00013C8E">
              <w:rPr>
                <w:rFonts w:cs="Arial"/>
                <w:i/>
              </w:rPr>
              <w:t>will be disseminated</w:t>
            </w:r>
            <w:proofErr w:type="gramEnd"/>
            <w:r w:rsidRPr="00013C8E">
              <w:rPr>
                <w:rFonts w:cs="Arial"/>
                <w:i/>
              </w:rPr>
              <w:t xml:space="preserve"> further within the School.</w:t>
            </w:r>
          </w:p>
          <w:p w:rsidR="00DE0A3A" w:rsidRPr="00013C8E" w:rsidRDefault="00DE0A3A" w:rsidP="009D2A03">
            <w:pPr>
              <w:rPr>
                <w:rFonts w:cs="Arial"/>
                <w:i/>
              </w:rPr>
            </w:pPr>
          </w:p>
          <w:p w:rsidR="00DE0A3A" w:rsidRPr="00013C8E" w:rsidRDefault="00DE0A3A" w:rsidP="009D2A03">
            <w:pPr>
              <w:rPr>
                <w:rFonts w:cs="Arial"/>
                <w:i/>
              </w:rPr>
            </w:pPr>
          </w:p>
          <w:p w:rsidR="00DE0A3A" w:rsidRPr="00013C8E" w:rsidRDefault="00DE0A3A" w:rsidP="009D2A03">
            <w:pPr>
              <w:rPr>
                <w:rFonts w:cs="Arial"/>
                <w:i/>
              </w:rPr>
            </w:pPr>
          </w:p>
          <w:p w:rsidR="00DE0A3A" w:rsidRPr="00013C8E" w:rsidRDefault="00DE0A3A" w:rsidP="009D2A03">
            <w:pPr>
              <w:rPr>
                <w:rFonts w:cs="Arial"/>
                <w:i/>
              </w:rPr>
            </w:pPr>
          </w:p>
          <w:p w:rsidR="00DE0A3A" w:rsidRPr="00013C8E" w:rsidRDefault="00DE0A3A" w:rsidP="009D2A03">
            <w:pPr>
              <w:rPr>
                <w:rFonts w:cs="Arial"/>
                <w:i/>
              </w:rPr>
            </w:pPr>
          </w:p>
        </w:tc>
      </w:tr>
      <w:tr w:rsidR="00DE0A3A" w:rsidRPr="00013C8E" w:rsidTr="009D2A03">
        <w:tc>
          <w:tcPr>
            <w:tcW w:w="9016" w:type="dxa"/>
            <w:shd w:val="clear" w:color="auto" w:fill="F2F2F2"/>
          </w:tcPr>
          <w:p w:rsidR="00DE0A3A" w:rsidRPr="00013C8E" w:rsidRDefault="00DE0A3A" w:rsidP="009D2A03">
            <w:pPr>
              <w:rPr>
                <w:rFonts w:cs="Arial"/>
                <w:b/>
              </w:rPr>
            </w:pPr>
            <w:r w:rsidRPr="00013C8E">
              <w:rPr>
                <w:rFonts w:cs="Arial"/>
                <w:b/>
              </w:rPr>
              <w:t>Review of key themes/issues or risks from the previous year’s Annual Course Review summary</w:t>
            </w:r>
          </w:p>
        </w:tc>
      </w:tr>
      <w:tr w:rsidR="00DE0A3A" w:rsidRPr="00013C8E" w:rsidTr="009D2A03">
        <w:tc>
          <w:tcPr>
            <w:tcW w:w="9016" w:type="dxa"/>
            <w:shd w:val="clear" w:color="auto" w:fill="auto"/>
          </w:tcPr>
          <w:p w:rsidR="00DE0A3A" w:rsidRPr="00013C8E" w:rsidRDefault="00DE0A3A" w:rsidP="009D2A03">
            <w:pPr>
              <w:rPr>
                <w:rFonts w:cs="Arial"/>
                <w:i/>
              </w:rPr>
            </w:pPr>
          </w:p>
          <w:p w:rsidR="00DE0A3A" w:rsidRPr="00013C8E" w:rsidRDefault="00DE0A3A" w:rsidP="009D2A03">
            <w:pPr>
              <w:rPr>
                <w:rFonts w:cs="Arial"/>
                <w:i/>
              </w:rPr>
            </w:pPr>
          </w:p>
          <w:p w:rsidR="00DE0A3A" w:rsidRPr="00013C8E" w:rsidRDefault="00DE0A3A" w:rsidP="009D2A03">
            <w:pPr>
              <w:rPr>
                <w:rFonts w:cs="Arial"/>
                <w:i/>
              </w:rPr>
            </w:pPr>
          </w:p>
          <w:p w:rsidR="00DE0A3A" w:rsidRPr="00013C8E" w:rsidRDefault="00DE0A3A" w:rsidP="009D2A03">
            <w:pPr>
              <w:rPr>
                <w:rFonts w:cs="Arial"/>
                <w:i/>
              </w:rPr>
            </w:pPr>
          </w:p>
          <w:p w:rsidR="00DE0A3A" w:rsidRPr="00013C8E" w:rsidRDefault="00DE0A3A" w:rsidP="009D2A03">
            <w:pPr>
              <w:rPr>
                <w:rFonts w:cs="Arial"/>
                <w:i/>
              </w:rPr>
            </w:pPr>
          </w:p>
          <w:p w:rsidR="00DE0A3A" w:rsidRPr="00013C8E" w:rsidRDefault="00DE0A3A" w:rsidP="009D2A03">
            <w:pPr>
              <w:rPr>
                <w:rFonts w:cs="Arial"/>
                <w:i/>
              </w:rPr>
            </w:pPr>
          </w:p>
        </w:tc>
      </w:tr>
      <w:tr w:rsidR="00DE0A3A" w:rsidRPr="00013C8E" w:rsidTr="009D2A03">
        <w:tc>
          <w:tcPr>
            <w:tcW w:w="9016" w:type="dxa"/>
            <w:shd w:val="clear" w:color="auto" w:fill="F2F2F2"/>
          </w:tcPr>
          <w:p w:rsidR="00DE0A3A" w:rsidRPr="00013C8E" w:rsidRDefault="00DE0A3A" w:rsidP="009D2A03">
            <w:pPr>
              <w:rPr>
                <w:rFonts w:cs="Arial"/>
                <w:b/>
              </w:rPr>
            </w:pPr>
            <w:r w:rsidRPr="00013C8E">
              <w:rPr>
                <w:rFonts w:cs="Arial"/>
                <w:b/>
              </w:rPr>
              <w:t>Risks and Issues</w:t>
            </w:r>
          </w:p>
        </w:tc>
      </w:tr>
      <w:tr w:rsidR="00DE0A3A" w:rsidRPr="00013C8E" w:rsidTr="009D2A03">
        <w:tc>
          <w:tcPr>
            <w:tcW w:w="9016" w:type="dxa"/>
            <w:shd w:val="clear" w:color="auto" w:fill="auto"/>
          </w:tcPr>
          <w:p w:rsidR="00DE0A3A" w:rsidRPr="00013C8E" w:rsidRDefault="00DE0A3A" w:rsidP="009D2A03">
            <w:pPr>
              <w:rPr>
                <w:rFonts w:cs="Arial"/>
                <w:i/>
              </w:rPr>
            </w:pPr>
            <w:r w:rsidRPr="00013C8E">
              <w:rPr>
                <w:rFonts w:cs="Arial"/>
                <w:i/>
              </w:rPr>
              <w:t>Please identify any specific risks or issues highlighted in individual ACRs that the School will take action on:</w:t>
            </w:r>
          </w:p>
          <w:p w:rsidR="00DE0A3A" w:rsidRPr="00013C8E" w:rsidRDefault="00DE0A3A" w:rsidP="009D2A03">
            <w:pPr>
              <w:rPr>
                <w:rFonts w:cs="Arial"/>
                <w:i/>
              </w:rPr>
            </w:pPr>
          </w:p>
          <w:p w:rsidR="00DE0A3A" w:rsidRPr="00013C8E" w:rsidRDefault="00DE0A3A" w:rsidP="009D2A03">
            <w:pPr>
              <w:rPr>
                <w:rFonts w:cs="Arial"/>
                <w:i/>
              </w:rPr>
            </w:pPr>
          </w:p>
          <w:p w:rsidR="00DE0A3A" w:rsidRPr="00013C8E" w:rsidRDefault="00DE0A3A" w:rsidP="009D2A03">
            <w:pPr>
              <w:rPr>
                <w:rFonts w:cs="Arial"/>
                <w:i/>
              </w:rPr>
            </w:pPr>
          </w:p>
          <w:p w:rsidR="00DE0A3A" w:rsidRPr="00013C8E" w:rsidRDefault="00DE0A3A" w:rsidP="009D2A03">
            <w:pPr>
              <w:rPr>
                <w:rFonts w:cs="Arial"/>
                <w:i/>
              </w:rPr>
            </w:pPr>
          </w:p>
          <w:p w:rsidR="00DE0A3A" w:rsidRPr="00013C8E" w:rsidRDefault="00DE0A3A" w:rsidP="009D2A03">
            <w:pPr>
              <w:rPr>
                <w:rFonts w:cs="Arial"/>
                <w:i/>
              </w:rPr>
            </w:pPr>
          </w:p>
        </w:tc>
      </w:tr>
      <w:tr w:rsidR="00DE0A3A" w:rsidRPr="00013C8E" w:rsidTr="009D2A03">
        <w:tc>
          <w:tcPr>
            <w:tcW w:w="9016" w:type="dxa"/>
            <w:shd w:val="clear" w:color="auto" w:fill="auto"/>
          </w:tcPr>
          <w:p w:rsidR="00DE0A3A" w:rsidRPr="00013C8E" w:rsidRDefault="00DE0A3A" w:rsidP="009D2A03">
            <w:pPr>
              <w:rPr>
                <w:rFonts w:cs="Arial"/>
                <w:i/>
              </w:rPr>
            </w:pPr>
            <w:r w:rsidRPr="00013C8E">
              <w:rPr>
                <w:rFonts w:cs="Arial"/>
                <w:i/>
              </w:rPr>
              <w:t>Please identify any specific risks or issues highlighted in individual ACRs that the University should be aware of:</w:t>
            </w:r>
          </w:p>
          <w:p w:rsidR="00DE0A3A" w:rsidRPr="00013C8E" w:rsidRDefault="00DE0A3A" w:rsidP="009D2A03">
            <w:pPr>
              <w:rPr>
                <w:rFonts w:cs="Arial"/>
                <w:i/>
              </w:rPr>
            </w:pPr>
          </w:p>
          <w:p w:rsidR="00DE0A3A" w:rsidRPr="00013C8E" w:rsidRDefault="00DE0A3A" w:rsidP="009D2A03">
            <w:pPr>
              <w:rPr>
                <w:rFonts w:cs="Arial"/>
                <w:i/>
              </w:rPr>
            </w:pPr>
          </w:p>
          <w:p w:rsidR="00DE0A3A" w:rsidRPr="00013C8E" w:rsidRDefault="00DE0A3A" w:rsidP="009D2A03">
            <w:pPr>
              <w:rPr>
                <w:rFonts w:cs="Arial"/>
                <w:i/>
              </w:rPr>
            </w:pPr>
          </w:p>
          <w:p w:rsidR="00DE0A3A" w:rsidRPr="00013C8E" w:rsidRDefault="00DE0A3A" w:rsidP="009D2A03">
            <w:pPr>
              <w:rPr>
                <w:rFonts w:cs="Arial"/>
                <w:i/>
              </w:rPr>
            </w:pPr>
          </w:p>
        </w:tc>
      </w:tr>
      <w:tr w:rsidR="00DE0A3A" w:rsidRPr="00013C8E" w:rsidTr="009D2A03">
        <w:tc>
          <w:tcPr>
            <w:tcW w:w="9016" w:type="dxa"/>
            <w:shd w:val="clear" w:color="auto" w:fill="F2F2F2"/>
          </w:tcPr>
          <w:p w:rsidR="00DE0A3A" w:rsidRPr="00013C8E" w:rsidRDefault="00DE0A3A" w:rsidP="009D2A03">
            <w:pPr>
              <w:rPr>
                <w:rFonts w:cs="Arial"/>
                <w:b/>
              </w:rPr>
            </w:pPr>
            <w:r w:rsidRPr="00013C8E">
              <w:rPr>
                <w:rFonts w:cs="Arial"/>
                <w:b/>
              </w:rPr>
              <w:t>Any additional comments or feedback</w:t>
            </w:r>
          </w:p>
        </w:tc>
      </w:tr>
      <w:tr w:rsidR="00DE0A3A" w:rsidRPr="00013C8E" w:rsidTr="009D2A03">
        <w:tc>
          <w:tcPr>
            <w:tcW w:w="9016" w:type="dxa"/>
            <w:shd w:val="clear" w:color="auto" w:fill="auto"/>
          </w:tcPr>
          <w:p w:rsidR="00DE0A3A" w:rsidRPr="00013C8E" w:rsidRDefault="00DE0A3A" w:rsidP="009D2A03">
            <w:pPr>
              <w:rPr>
                <w:rFonts w:cs="Arial"/>
                <w:i/>
              </w:rPr>
            </w:pPr>
            <w:r w:rsidRPr="00013C8E">
              <w:rPr>
                <w:rFonts w:cs="Arial"/>
                <w:i/>
              </w:rPr>
              <w:t xml:space="preserve">Please provide any general comments or feedback from the review of ACRs that </w:t>
            </w:r>
            <w:proofErr w:type="gramStart"/>
            <w:r w:rsidRPr="00013C8E">
              <w:rPr>
                <w:rFonts w:cs="Arial"/>
                <w:i/>
              </w:rPr>
              <w:t>is not covered</w:t>
            </w:r>
            <w:proofErr w:type="gramEnd"/>
            <w:r w:rsidRPr="00013C8E">
              <w:rPr>
                <w:rFonts w:cs="Arial"/>
                <w:i/>
              </w:rPr>
              <w:t xml:space="preserve"> elsewhere.</w:t>
            </w:r>
          </w:p>
          <w:p w:rsidR="00DE0A3A" w:rsidRPr="00013C8E" w:rsidRDefault="00DE0A3A" w:rsidP="009D2A03">
            <w:pPr>
              <w:rPr>
                <w:rFonts w:cs="Arial"/>
                <w:i/>
              </w:rPr>
            </w:pPr>
          </w:p>
        </w:tc>
      </w:tr>
    </w:tbl>
    <w:p w:rsidR="00DE0A3A" w:rsidRPr="00013C8E" w:rsidRDefault="00DE0A3A" w:rsidP="00DE0A3A">
      <w:pPr>
        <w:rPr>
          <w:rFonts w:cs="Arial"/>
        </w:rPr>
      </w:pPr>
    </w:p>
    <w:p w:rsidR="00DE0A3A" w:rsidRDefault="00DE0A3A" w:rsidP="00F27859">
      <w:pPr>
        <w:ind w:left="675"/>
      </w:pPr>
    </w:p>
    <w:p w:rsidR="008B5E1C" w:rsidRDefault="008B5E1C" w:rsidP="008B5E1C"/>
    <w:p w:rsidR="00D77A05" w:rsidRPr="00604CAD" w:rsidRDefault="00D77A05" w:rsidP="00D77A05"/>
    <w:sectPr w:rsidR="00D77A05" w:rsidRPr="00604CA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CAD" w:rsidRDefault="00604CAD" w:rsidP="008B5E1C">
      <w:r>
        <w:separator/>
      </w:r>
    </w:p>
  </w:endnote>
  <w:endnote w:type="continuationSeparator" w:id="0">
    <w:p w:rsidR="00604CAD" w:rsidRDefault="00604CAD" w:rsidP="008B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CAD" w:rsidRPr="008B5E1C" w:rsidRDefault="00604CAD" w:rsidP="008B5E1C">
    <w:pPr>
      <w:pStyle w:val="Footer"/>
      <w:pBdr>
        <w:top w:val="single" w:sz="4" w:space="1" w:color="auto"/>
      </w:pBdr>
      <w:rPr>
        <w:sz w:val="16"/>
        <w:szCs w:val="16"/>
      </w:rPr>
    </w:pPr>
    <w:r w:rsidRPr="008B5E1C">
      <w:rPr>
        <w:sz w:val="16"/>
        <w:szCs w:val="16"/>
      </w:rPr>
      <w:t>ACR process</w:t>
    </w:r>
    <w:r w:rsidRPr="008B5E1C">
      <w:rPr>
        <w:sz w:val="16"/>
        <w:szCs w:val="16"/>
      </w:rPr>
      <w:ptab w:relativeTo="margin" w:alignment="center" w:leader="none"/>
    </w:r>
    <w:r w:rsidRPr="008B5E1C">
      <w:rPr>
        <w:sz w:val="16"/>
        <w:szCs w:val="16"/>
      </w:rPr>
      <w:t>2019-2020 (v1. Sept 2019</w:t>
    </w:r>
    <w:proofErr w:type="gramStart"/>
    <w:r w:rsidRPr="008B5E1C">
      <w:rPr>
        <w:sz w:val="16"/>
        <w:szCs w:val="16"/>
      </w:rPr>
      <w:t>)</w:t>
    </w:r>
    <w:proofErr w:type="gramEnd"/>
    <w:r w:rsidRPr="008B5E1C">
      <w:rPr>
        <w:sz w:val="16"/>
        <w:szCs w:val="16"/>
      </w:rPr>
      <w:ptab w:relativeTo="margin" w:alignment="right" w:leader="none"/>
    </w:r>
    <w:r w:rsidRPr="008B5E1C">
      <w:rPr>
        <w:sz w:val="16"/>
        <w:szCs w:val="16"/>
      </w:rPr>
      <w:t xml:space="preserve">Page </w:t>
    </w:r>
    <w:r w:rsidRPr="008B5E1C">
      <w:rPr>
        <w:b/>
        <w:bCs/>
        <w:sz w:val="16"/>
        <w:szCs w:val="16"/>
      </w:rPr>
      <w:fldChar w:fldCharType="begin"/>
    </w:r>
    <w:r w:rsidRPr="008B5E1C">
      <w:rPr>
        <w:b/>
        <w:bCs/>
        <w:sz w:val="16"/>
        <w:szCs w:val="16"/>
      </w:rPr>
      <w:instrText xml:space="preserve"> PAGE  \* Arabic  \* MERGEFORMAT </w:instrText>
    </w:r>
    <w:r w:rsidRPr="008B5E1C">
      <w:rPr>
        <w:b/>
        <w:bCs/>
        <w:sz w:val="16"/>
        <w:szCs w:val="16"/>
      </w:rPr>
      <w:fldChar w:fldCharType="separate"/>
    </w:r>
    <w:r w:rsidR="000C0F5F">
      <w:rPr>
        <w:b/>
        <w:bCs/>
        <w:noProof/>
        <w:sz w:val="16"/>
        <w:szCs w:val="16"/>
      </w:rPr>
      <w:t>5</w:t>
    </w:r>
    <w:r w:rsidRPr="008B5E1C">
      <w:rPr>
        <w:b/>
        <w:bCs/>
        <w:sz w:val="16"/>
        <w:szCs w:val="16"/>
      </w:rPr>
      <w:fldChar w:fldCharType="end"/>
    </w:r>
    <w:r w:rsidRPr="008B5E1C">
      <w:rPr>
        <w:sz w:val="16"/>
        <w:szCs w:val="16"/>
      </w:rPr>
      <w:t xml:space="preserve"> of </w:t>
    </w:r>
    <w:r w:rsidRPr="008B5E1C">
      <w:rPr>
        <w:b/>
        <w:bCs/>
        <w:sz w:val="16"/>
        <w:szCs w:val="16"/>
      </w:rPr>
      <w:fldChar w:fldCharType="begin"/>
    </w:r>
    <w:r w:rsidRPr="008B5E1C">
      <w:rPr>
        <w:b/>
        <w:bCs/>
        <w:sz w:val="16"/>
        <w:szCs w:val="16"/>
      </w:rPr>
      <w:instrText xml:space="preserve"> NUMPAGES  \* Arabic  \* MERGEFORMAT </w:instrText>
    </w:r>
    <w:r w:rsidRPr="008B5E1C">
      <w:rPr>
        <w:b/>
        <w:bCs/>
        <w:sz w:val="16"/>
        <w:szCs w:val="16"/>
      </w:rPr>
      <w:fldChar w:fldCharType="separate"/>
    </w:r>
    <w:r w:rsidR="000C0F5F">
      <w:rPr>
        <w:b/>
        <w:bCs/>
        <w:noProof/>
        <w:sz w:val="16"/>
        <w:szCs w:val="16"/>
      </w:rPr>
      <w:t>12</w:t>
    </w:r>
    <w:r w:rsidRPr="008B5E1C">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CAD" w:rsidRDefault="00604CAD" w:rsidP="008B5E1C">
      <w:r>
        <w:separator/>
      </w:r>
    </w:p>
  </w:footnote>
  <w:footnote w:type="continuationSeparator" w:id="0">
    <w:p w:rsidR="00604CAD" w:rsidRDefault="00604CAD" w:rsidP="008B5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059B"/>
    <w:multiLevelType w:val="hybridMultilevel"/>
    <w:tmpl w:val="68808996"/>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1" w15:restartNumberingAfterBreak="0">
    <w:nsid w:val="07A1548C"/>
    <w:multiLevelType w:val="hybridMultilevel"/>
    <w:tmpl w:val="8ED4C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FF5689"/>
    <w:multiLevelType w:val="hybridMultilevel"/>
    <w:tmpl w:val="FC724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2B42D7"/>
    <w:multiLevelType w:val="hybridMultilevel"/>
    <w:tmpl w:val="291CA07A"/>
    <w:lvl w:ilvl="0" w:tplc="B8C28D52">
      <w:start w:val="4"/>
      <w:numFmt w:val="decimal"/>
      <w:lvlText w:val="%1."/>
      <w:lvlJc w:val="left"/>
      <w:pPr>
        <w:ind w:left="680" w:hanging="68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A939E4"/>
    <w:multiLevelType w:val="hybridMultilevel"/>
    <w:tmpl w:val="1C4AA400"/>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5" w15:restartNumberingAfterBreak="0">
    <w:nsid w:val="0C122F83"/>
    <w:multiLevelType w:val="hybridMultilevel"/>
    <w:tmpl w:val="E8E06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FB302B"/>
    <w:multiLevelType w:val="hybridMultilevel"/>
    <w:tmpl w:val="52CAA8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1EF3295"/>
    <w:multiLevelType w:val="hybridMultilevel"/>
    <w:tmpl w:val="4FDE6B0A"/>
    <w:lvl w:ilvl="0" w:tplc="A044CE20">
      <w:start w:val="9"/>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E21B10"/>
    <w:multiLevelType w:val="hybridMultilevel"/>
    <w:tmpl w:val="B8307A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A257D0"/>
    <w:multiLevelType w:val="hybridMultilevel"/>
    <w:tmpl w:val="FB0EDE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B411C0"/>
    <w:multiLevelType w:val="hybridMultilevel"/>
    <w:tmpl w:val="2FE262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844A46"/>
    <w:multiLevelType w:val="hybridMultilevel"/>
    <w:tmpl w:val="57F4A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511F71"/>
    <w:multiLevelType w:val="hybridMultilevel"/>
    <w:tmpl w:val="E0B049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A20231D"/>
    <w:multiLevelType w:val="hybridMultilevel"/>
    <w:tmpl w:val="C8202E0C"/>
    <w:lvl w:ilvl="0" w:tplc="1A7669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7B00D2"/>
    <w:multiLevelType w:val="multilevel"/>
    <w:tmpl w:val="523059AC"/>
    <w:lvl w:ilvl="0">
      <w:start w:val="4"/>
      <w:numFmt w:val="decimal"/>
      <w:lvlText w:val="%1"/>
      <w:lvlJc w:val="left"/>
      <w:pPr>
        <w:ind w:left="420" w:hanging="420"/>
      </w:pPr>
      <w:rPr>
        <w:rFonts w:hint="default"/>
      </w:rPr>
    </w:lvl>
    <w:lvl w:ilvl="1">
      <w:start w:val="3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CB5AD1"/>
    <w:multiLevelType w:val="hybridMultilevel"/>
    <w:tmpl w:val="A720FA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65D0EEB"/>
    <w:multiLevelType w:val="hybridMultilevel"/>
    <w:tmpl w:val="16FC0B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88D101E"/>
    <w:multiLevelType w:val="hybridMultilevel"/>
    <w:tmpl w:val="F26A74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19B7DAD"/>
    <w:multiLevelType w:val="hybridMultilevel"/>
    <w:tmpl w:val="56043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4161E44"/>
    <w:multiLevelType w:val="hybridMultilevel"/>
    <w:tmpl w:val="815406D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0" w15:restartNumberingAfterBreak="0">
    <w:nsid w:val="580D3A71"/>
    <w:multiLevelType w:val="multilevel"/>
    <w:tmpl w:val="2FD20540"/>
    <w:lvl w:ilvl="0">
      <w:start w:val="1"/>
      <w:numFmt w:val="decimal"/>
      <w:lvlText w:val="%1."/>
      <w:lvlJc w:val="left"/>
      <w:pPr>
        <w:ind w:left="680" w:hanging="680"/>
      </w:pPr>
      <w:rPr>
        <w:rFonts w:hint="default"/>
      </w:rPr>
    </w:lvl>
    <w:lvl w:ilvl="1">
      <w:start w:val="1"/>
      <w:numFmt w:val="decimal"/>
      <w:isLgl/>
      <w:lvlText w:val="%1.%2"/>
      <w:lvlJc w:val="left"/>
      <w:pPr>
        <w:ind w:left="675" w:hanging="6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DF01652"/>
    <w:multiLevelType w:val="hybridMultilevel"/>
    <w:tmpl w:val="0D48B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2D1407B"/>
    <w:multiLevelType w:val="hybridMultilevel"/>
    <w:tmpl w:val="3EE09916"/>
    <w:lvl w:ilvl="0" w:tplc="7ECE1536">
      <w:start w:val="1"/>
      <w:numFmt w:val="decimal"/>
      <w:lvlText w:val="%1."/>
      <w:lvlJc w:val="left"/>
      <w:pPr>
        <w:ind w:left="680" w:hanging="68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D3654E"/>
    <w:multiLevelType w:val="hybridMultilevel"/>
    <w:tmpl w:val="D7403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FB104C"/>
    <w:multiLevelType w:val="hybridMultilevel"/>
    <w:tmpl w:val="A8BE3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7E0042"/>
    <w:multiLevelType w:val="hybridMultilevel"/>
    <w:tmpl w:val="2ED04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DCA3F68"/>
    <w:multiLevelType w:val="hybridMultilevel"/>
    <w:tmpl w:val="582E4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0D749BC"/>
    <w:multiLevelType w:val="hybridMultilevel"/>
    <w:tmpl w:val="079EA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6C173B"/>
    <w:multiLevelType w:val="hybridMultilevel"/>
    <w:tmpl w:val="E8EE8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2545292"/>
    <w:multiLevelType w:val="multilevel"/>
    <w:tmpl w:val="5F8C0AC6"/>
    <w:lvl w:ilvl="0">
      <w:start w:val="4"/>
      <w:numFmt w:val="decimal"/>
      <w:lvlText w:val="%1"/>
      <w:lvlJc w:val="left"/>
      <w:pPr>
        <w:ind w:left="360" w:hanging="360"/>
      </w:pPr>
      <w:rPr>
        <w:rFonts w:hint="default"/>
      </w:rPr>
    </w:lvl>
    <w:lvl w:ilvl="1">
      <w:start w:val="3"/>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5D37952"/>
    <w:multiLevelType w:val="hybridMultilevel"/>
    <w:tmpl w:val="13CCB8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0"/>
  </w:num>
  <w:num w:numId="2">
    <w:abstractNumId w:val="19"/>
  </w:num>
  <w:num w:numId="3">
    <w:abstractNumId w:val="13"/>
  </w:num>
  <w:num w:numId="4">
    <w:abstractNumId w:val="27"/>
  </w:num>
  <w:num w:numId="5">
    <w:abstractNumId w:val="8"/>
  </w:num>
  <w:num w:numId="6">
    <w:abstractNumId w:val="6"/>
  </w:num>
  <w:num w:numId="7">
    <w:abstractNumId w:val="9"/>
  </w:num>
  <w:num w:numId="8">
    <w:abstractNumId w:val="15"/>
  </w:num>
  <w:num w:numId="9">
    <w:abstractNumId w:val="14"/>
  </w:num>
  <w:num w:numId="10">
    <w:abstractNumId w:val="29"/>
  </w:num>
  <w:num w:numId="11">
    <w:abstractNumId w:val="30"/>
  </w:num>
  <w:num w:numId="12">
    <w:abstractNumId w:val="0"/>
  </w:num>
  <w:num w:numId="13">
    <w:abstractNumId w:val="17"/>
  </w:num>
  <w:num w:numId="14">
    <w:abstractNumId w:val="4"/>
  </w:num>
  <w:num w:numId="15">
    <w:abstractNumId w:val="16"/>
  </w:num>
  <w:num w:numId="16">
    <w:abstractNumId w:val="22"/>
  </w:num>
  <w:num w:numId="17">
    <w:abstractNumId w:val="3"/>
  </w:num>
  <w:num w:numId="18">
    <w:abstractNumId w:val="7"/>
  </w:num>
  <w:num w:numId="19">
    <w:abstractNumId w:val="12"/>
  </w:num>
  <w:num w:numId="20">
    <w:abstractNumId w:val="10"/>
  </w:num>
  <w:num w:numId="21">
    <w:abstractNumId w:val="25"/>
  </w:num>
  <w:num w:numId="22">
    <w:abstractNumId w:val="11"/>
  </w:num>
  <w:num w:numId="23">
    <w:abstractNumId w:val="2"/>
  </w:num>
  <w:num w:numId="24">
    <w:abstractNumId w:val="21"/>
  </w:num>
  <w:num w:numId="25">
    <w:abstractNumId w:val="1"/>
  </w:num>
  <w:num w:numId="26">
    <w:abstractNumId w:val="28"/>
  </w:num>
  <w:num w:numId="27">
    <w:abstractNumId w:val="23"/>
  </w:num>
  <w:num w:numId="28">
    <w:abstractNumId w:val="18"/>
  </w:num>
  <w:num w:numId="29">
    <w:abstractNumId w:val="5"/>
  </w:num>
  <w:num w:numId="30">
    <w:abstractNumId w:val="26"/>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D0"/>
    <w:rsid w:val="000020E3"/>
    <w:rsid w:val="0007467C"/>
    <w:rsid w:val="000C0F5F"/>
    <w:rsid w:val="000D25D0"/>
    <w:rsid w:val="00100FD0"/>
    <w:rsid w:val="001A64BA"/>
    <w:rsid w:val="00215075"/>
    <w:rsid w:val="0025607C"/>
    <w:rsid w:val="002F027C"/>
    <w:rsid w:val="00332008"/>
    <w:rsid w:val="004576C1"/>
    <w:rsid w:val="004B5BFE"/>
    <w:rsid w:val="004B72ED"/>
    <w:rsid w:val="005D313C"/>
    <w:rsid w:val="00604CAD"/>
    <w:rsid w:val="00780C4A"/>
    <w:rsid w:val="007B36FE"/>
    <w:rsid w:val="007F429F"/>
    <w:rsid w:val="008344A4"/>
    <w:rsid w:val="008B5E1C"/>
    <w:rsid w:val="008F70BC"/>
    <w:rsid w:val="009522AD"/>
    <w:rsid w:val="0097335E"/>
    <w:rsid w:val="00A815F1"/>
    <w:rsid w:val="00B61532"/>
    <w:rsid w:val="00CB4C37"/>
    <w:rsid w:val="00D77A05"/>
    <w:rsid w:val="00DE0A3A"/>
    <w:rsid w:val="00E341FB"/>
    <w:rsid w:val="00F27859"/>
    <w:rsid w:val="00F841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41049"/>
  <w15:chartTrackingRefBased/>
  <w15:docId w15:val="{B8F6F97E-B550-4A23-A67F-C5D2C70F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5D0"/>
    <w:pPr>
      <w:ind w:left="720"/>
      <w:contextualSpacing/>
    </w:pPr>
  </w:style>
  <w:style w:type="table" w:styleId="TableGrid">
    <w:name w:val="Table Grid"/>
    <w:basedOn w:val="TableNormal"/>
    <w:uiPriority w:val="59"/>
    <w:rsid w:val="00834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72ED"/>
    <w:rPr>
      <w:color w:val="0563C1" w:themeColor="hyperlink"/>
      <w:u w:val="single"/>
    </w:rPr>
  </w:style>
  <w:style w:type="paragraph" w:styleId="Header">
    <w:name w:val="header"/>
    <w:basedOn w:val="Normal"/>
    <w:link w:val="HeaderChar"/>
    <w:uiPriority w:val="99"/>
    <w:unhideWhenUsed/>
    <w:rsid w:val="008B5E1C"/>
    <w:pPr>
      <w:tabs>
        <w:tab w:val="center" w:pos="4513"/>
        <w:tab w:val="right" w:pos="9026"/>
      </w:tabs>
    </w:pPr>
  </w:style>
  <w:style w:type="character" w:customStyle="1" w:styleId="HeaderChar">
    <w:name w:val="Header Char"/>
    <w:basedOn w:val="DefaultParagraphFont"/>
    <w:link w:val="Header"/>
    <w:uiPriority w:val="99"/>
    <w:rsid w:val="008B5E1C"/>
  </w:style>
  <w:style w:type="paragraph" w:styleId="Footer">
    <w:name w:val="footer"/>
    <w:basedOn w:val="Normal"/>
    <w:link w:val="FooterChar"/>
    <w:uiPriority w:val="99"/>
    <w:unhideWhenUsed/>
    <w:rsid w:val="008B5E1C"/>
    <w:pPr>
      <w:tabs>
        <w:tab w:val="center" w:pos="4513"/>
        <w:tab w:val="right" w:pos="9026"/>
      </w:tabs>
    </w:pPr>
  </w:style>
  <w:style w:type="character" w:customStyle="1" w:styleId="FooterChar">
    <w:name w:val="Footer Char"/>
    <w:basedOn w:val="DefaultParagraphFont"/>
    <w:link w:val="Footer"/>
    <w:uiPriority w:val="99"/>
    <w:rsid w:val="008B5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sex.ac.uk/careers/whatourgraduatesdo/dlhe" TargetMode="External"/><Relationship Id="rId13" Type="http://schemas.openxmlformats.org/officeDocument/2006/relationships/hyperlink" Target="http://www.sussex.ac.uk/adqe/enhancement/annualcourserevie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ussex.ac.uk/adqe/curriculum/curriculumdevelopme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ssex.ac.uk/adqe/enhancement/annualcourserevie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irect.sussex.ac.uk/page.php?page=group_doc_display&amp;trail=committees%2Cgroup_members&amp;document_code=154122&amp;rel=AUTH&amp;format=application%2Fpdf&amp;file_name=UEC-43-24+Academic+Misconduct+annual+report+2017_18.pdf" TargetMode="External"/><Relationship Id="rId4" Type="http://schemas.openxmlformats.org/officeDocument/2006/relationships/webSettings" Target="webSettings.xml"/><Relationship Id="rId9" Type="http://schemas.openxmlformats.org/officeDocument/2006/relationships/hyperlink" Target="https://direct.sussex.ac.uk/page.php?page=group_doc_display&amp;trail=committees%2Cgroup_members&amp;document_code=161572&amp;rel=AUTH&amp;format=application%2Fpdf&amp;file_name=UEC-44-10+Academic+Appeals+report.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D6FB784B</Template>
  <TotalTime>363</TotalTime>
  <Pages>12</Pages>
  <Words>2772</Words>
  <Characters>15807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18542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Cooper</dc:creator>
  <cp:keywords/>
  <dc:description/>
  <cp:lastModifiedBy>Denise Cooper</cp:lastModifiedBy>
  <cp:revision>9</cp:revision>
  <dcterms:created xsi:type="dcterms:W3CDTF">2019-09-05T12:13:00Z</dcterms:created>
  <dcterms:modified xsi:type="dcterms:W3CDTF">2019-09-26T10:01:00Z</dcterms:modified>
</cp:coreProperties>
</file>