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FA" w:rsidRPr="007C3EFA" w:rsidRDefault="007C3EFA" w:rsidP="002050FB">
      <w:pPr>
        <w:contextualSpacing/>
        <w:jc w:val="center"/>
        <w:rPr>
          <w:rFonts w:asciiTheme="minorBidi" w:hAnsiTheme="minorBidi"/>
          <w:b/>
          <w:sz w:val="28"/>
          <w:szCs w:val="28"/>
          <w:u w:val="single"/>
        </w:rPr>
      </w:pPr>
      <w:r w:rsidRPr="007C3EFA">
        <w:rPr>
          <w:rFonts w:asciiTheme="minorBidi" w:hAnsiTheme="minorBidi"/>
          <w:b/>
          <w:sz w:val="28"/>
          <w:szCs w:val="28"/>
          <w:u w:val="single"/>
        </w:rPr>
        <w:t>University of Sussex</w:t>
      </w:r>
    </w:p>
    <w:p w:rsidR="007C3EFA" w:rsidRPr="007C3EFA" w:rsidRDefault="007C3EFA" w:rsidP="002050FB">
      <w:pPr>
        <w:contextualSpacing/>
        <w:jc w:val="center"/>
        <w:rPr>
          <w:rFonts w:asciiTheme="minorBidi" w:hAnsiTheme="minorBidi"/>
          <w:b/>
          <w:sz w:val="28"/>
          <w:szCs w:val="28"/>
          <w:u w:val="single"/>
        </w:rPr>
      </w:pPr>
      <w:r w:rsidRPr="007C3EFA">
        <w:rPr>
          <w:rFonts w:asciiTheme="minorBidi" w:hAnsiTheme="minorBidi"/>
          <w:b/>
          <w:sz w:val="28"/>
          <w:szCs w:val="28"/>
          <w:u w:val="single"/>
        </w:rPr>
        <w:t>Academic Advising Policy for Taught Students</w:t>
      </w:r>
    </w:p>
    <w:p w:rsidR="002050FB" w:rsidRDefault="002050FB" w:rsidP="002050FB">
      <w:pPr>
        <w:shd w:val="clear" w:color="auto" w:fill="FFFFFF"/>
        <w:spacing w:before="100" w:beforeAutospacing="1" w:after="360" w:line="240" w:lineRule="auto"/>
        <w:contextualSpacing/>
        <w:rPr>
          <w:rFonts w:ascii="Arial" w:eastAsia="Times New Roman" w:hAnsi="Arial" w:cs="Arial"/>
          <w:b/>
          <w:lang w:val="en" w:eastAsia="en-GB"/>
        </w:rPr>
      </w:pPr>
    </w:p>
    <w:p w:rsidR="002050FB" w:rsidRDefault="002050FB" w:rsidP="002050FB">
      <w:pPr>
        <w:shd w:val="clear" w:color="auto" w:fill="FFFFFF"/>
        <w:spacing w:before="100" w:beforeAutospacing="1" w:after="360" w:line="240" w:lineRule="auto"/>
        <w:contextualSpacing/>
        <w:rPr>
          <w:rFonts w:ascii="Arial" w:eastAsia="Times New Roman" w:hAnsi="Arial" w:cs="Arial"/>
          <w:b/>
          <w:lang w:val="en" w:eastAsia="en-GB"/>
        </w:rPr>
      </w:pPr>
    </w:p>
    <w:p w:rsidR="007C3EFA" w:rsidRPr="007C3EFA" w:rsidRDefault="007C3EFA" w:rsidP="002050FB">
      <w:pPr>
        <w:shd w:val="clear" w:color="auto" w:fill="FFFFFF"/>
        <w:spacing w:before="100" w:beforeAutospacing="1" w:after="360" w:line="240" w:lineRule="auto"/>
        <w:contextualSpacing/>
        <w:rPr>
          <w:rFonts w:ascii="Arial" w:eastAsia="Times New Roman" w:hAnsi="Arial" w:cs="Arial"/>
          <w:b/>
          <w:lang w:val="en" w:eastAsia="en-GB"/>
        </w:rPr>
      </w:pPr>
      <w:r w:rsidRPr="007C3EFA">
        <w:rPr>
          <w:rFonts w:ascii="Arial" w:eastAsia="Times New Roman" w:hAnsi="Arial" w:cs="Arial"/>
          <w:b/>
          <w:lang w:val="en" w:eastAsia="en-GB"/>
        </w:rPr>
        <w:t xml:space="preserve">1. Introduction </w:t>
      </w:r>
    </w:p>
    <w:p w:rsidR="002050FB" w:rsidRDefault="002050FB" w:rsidP="002050FB">
      <w:pPr>
        <w:pStyle w:val="PlainText"/>
        <w:contextualSpacing/>
        <w:jc w:val="both"/>
        <w:rPr>
          <w:rFonts w:ascii="Arial" w:hAnsi="Arial" w:cs="Arial"/>
        </w:rPr>
      </w:pPr>
      <w:r w:rsidRPr="007C3EFA">
        <w:rPr>
          <w:rFonts w:ascii="Arial" w:eastAsia="Times New Roman" w:hAnsi="Arial" w:cs="Arial"/>
          <w:szCs w:val="22"/>
          <w:lang w:val="en" w:eastAsia="en-GB"/>
        </w:rPr>
        <w:t xml:space="preserve">The University’s Academic Advising system is intended to deliver an equitable service to </w:t>
      </w:r>
      <w:r>
        <w:rPr>
          <w:rFonts w:ascii="Arial" w:eastAsia="Times New Roman" w:hAnsi="Arial" w:cs="Arial"/>
          <w:szCs w:val="22"/>
          <w:lang w:val="en" w:eastAsia="en-GB"/>
        </w:rPr>
        <w:t xml:space="preserve">all taught </w:t>
      </w:r>
      <w:r w:rsidRPr="007C3EFA">
        <w:rPr>
          <w:rFonts w:ascii="Arial" w:eastAsia="Times New Roman" w:hAnsi="Arial" w:cs="Arial"/>
          <w:szCs w:val="22"/>
          <w:lang w:val="en" w:eastAsia="en-GB"/>
        </w:rPr>
        <w:t>students</w:t>
      </w:r>
      <w:r>
        <w:rPr>
          <w:rFonts w:ascii="Arial" w:eastAsia="Times New Roman" w:hAnsi="Arial" w:cs="Arial"/>
          <w:szCs w:val="22"/>
          <w:lang w:val="en" w:eastAsia="en-GB"/>
        </w:rPr>
        <w:t>.</w:t>
      </w:r>
    </w:p>
    <w:p w:rsidR="002050FB" w:rsidRDefault="002050FB" w:rsidP="002050FB">
      <w:pPr>
        <w:pStyle w:val="PlainText"/>
        <w:contextualSpacing/>
        <w:jc w:val="both"/>
        <w:rPr>
          <w:rFonts w:ascii="Arial" w:hAnsi="Arial" w:cs="Arial"/>
        </w:rPr>
      </w:pPr>
    </w:p>
    <w:p w:rsidR="0089372F" w:rsidRDefault="002050FB" w:rsidP="002050FB">
      <w:pPr>
        <w:pStyle w:val="PlainText"/>
        <w:contextualSpacing/>
        <w:jc w:val="both"/>
        <w:rPr>
          <w:rFonts w:ascii="Arial" w:hAnsi="Arial" w:cs="Arial"/>
        </w:rPr>
      </w:pPr>
      <w:r>
        <w:rPr>
          <w:rFonts w:ascii="Arial" w:hAnsi="Arial" w:cs="Arial"/>
        </w:rPr>
        <w:t>Academic advising is an integrated part of the student experience rather than a bolt-on activity or a service that is used only when things go wrong. The role of the academic advisor is distinct in its holistic focus on the student and overall academic progress, personal and career development through timely discussions about progress, the provision of academic support and guidance or referral to appropriate specialist professional services as necessary.</w:t>
      </w:r>
    </w:p>
    <w:p w:rsidR="002050FB" w:rsidRDefault="002050FB" w:rsidP="002050FB">
      <w:pPr>
        <w:pStyle w:val="PlainText"/>
        <w:contextualSpacing/>
        <w:jc w:val="both"/>
        <w:rPr>
          <w:rFonts w:ascii="Arial" w:hAnsi="Arial" w:cs="Arial"/>
        </w:rPr>
      </w:pPr>
    </w:p>
    <w:p w:rsidR="002050FB" w:rsidRDefault="002050FB" w:rsidP="002050FB">
      <w:pPr>
        <w:pStyle w:val="PlainText"/>
        <w:contextualSpacing/>
        <w:jc w:val="both"/>
        <w:rPr>
          <w:rFonts w:ascii="Arial" w:hAnsi="Arial" w:cs="Arial"/>
        </w:rPr>
      </w:pPr>
      <w:r>
        <w:rPr>
          <w:rFonts w:ascii="Arial" w:hAnsi="Arial" w:cs="Arial"/>
        </w:rPr>
        <w:t>The role of the Director of Student Experience (</w:t>
      </w:r>
      <w:proofErr w:type="spellStart"/>
      <w:r>
        <w:rPr>
          <w:rFonts w:ascii="Arial" w:hAnsi="Arial" w:cs="Arial"/>
        </w:rPr>
        <w:t>DoSE</w:t>
      </w:r>
      <w:proofErr w:type="spellEnd"/>
      <w:r>
        <w:rPr>
          <w:rFonts w:ascii="Arial" w:hAnsi="Arial" w:cs="Arial"/>
        </w:rPr>
        <w:t xml:space="preserve">) includes oversight of the effectiveness of academic advising in a School and a focus on personal development for students. </w:t>
      </w:r>
    </w:p>
    <w:p w:rsidR="002050FB" w:rsidRDefault="002050FB" w:rsidP="002050FB">
      <w:pPr>
        <w:pStyle w:val="PlainText"/>
        <w:contextualSpacing/>
        <w:jc w:val="both"/>
        <w:rPr>
          <w:rFonts w:ascii="Arial" w:hAnsi="Arial" w:cs="Arial"/>
        </w:rPr>
      </w:pPr>
    </w:p>
    <w:p w:rsidR="002050FB" w:rsidRDefault="002050FB" w:rsidP="002050FB">
      <w:pPr>
        <w:shd w:val="clear" w:color="auto" w:fill="FFFFFF"/>
        <w:spacing w:before="100" w:beforeAutospacing="1" w:after="360" w:line="240" w:lineRule="auto"/>
        <w:contextualSpacing/>
        <w:rPr>
          <w:rFonts w:ascii="Arial" w:eastAsia="Times New Roman" w:hAnsi="Arial" w:cs="Arial"/>
          <w:b/>
          <w:lang w:val="en" w:eastAsia="en-GB"/>
        </w:rPr>
      </w:pPr>
      <w:r w:rsidRPr="002050FB">
        <w:rPr>
          <w:rFonts w:ascii="Arial" w:eastAsia="Times New Roman" w:hAnsi="Arial" w:cs="Arial"/>
          <w:b/>
          <w:lang w:val="en" w:eastAsia="en-GB"/>
        </w:rPr>
        <w:t>2. Principles</w:t>
      </w:r>
    </w:p>
    <w:p w:rsidR="002050FB" w:rsidRPr="002050FB" w:rsidRDefault="002050FB" w:rsidP="002050FB">
      <w:pPr>
        <w:shd w:val="clear" w:color="auto" w:fill="FFFFFF"/>
        <w:spacing w:before="100" w:beforeAutospacing="1" w:after="360" w:line="240" w:lineRule="auto"/>
        <w:contextualSpacing/>
        <w:rPr>
          <w:rFonts w:ascii="Arial" w:eastAsia="Times New Roman" w:hAnsi="Arial" w:cs="Arial"/>
          <w:b/>
          <w:lang w:val="en" w:eastAsia="en-GB"/>
        </w:rPr>
      </w:pPr>
    </w:p>
    <w:p w:rsidR="007C3EFA" w:rsidRDefault="007C3EFA" w:rsidP="002050FB">
      <w:pPr>
        <w:shd w:val="clear" w:color="auto" w:fill="FFFFFF"/>
        <w:spacing w:before="100" w:beforeAutospacing="1" w:after="360" w:line="240" w:lineRule="auto"/>
        <w:contextualSpacing/>
        <w:rPr>
          <w:rFonts w:ascii="Arial" w:eastAsia="Times New Roman" w:hAnsi="Arial" w:cs="Arial"/>
          <w:lang w:val="en" w:eastAsia="en-GB"/>
        </w:rPr>
      </w:pPr>
      <w:r w:rsidRPr="007C3EFA">
        <w:rPr>
          <w:rFonts w:ascii="Arial" w:eastAsia="Times New Roman" w:hAnsi="Arial" w:cs="Arial"/>
          <w:lang w:val="en" w:eastAsia="en-GB"/>
        </w:rPr>
        <w:t xml:space="preserve">The University’s Academic Advising system is based on the following </w:t>
      </w:r>
      <w:r w:rsidRPr="002050FB">
        <w:rPr>
          <w:rFonts w:ascii="Arial" w:eastAsia="Times New Roman" w:hAnsi="Arial" w:cs="Arial"/>
          <w:bCs/>
          <w:lang w:val="en" w:eastAsia="en-GB"/>
        </w:rPr>
        <w:t>principles</w:t>
      </w:r>
      <w:r w:rsidRPr="007C3EFA">
        <w:rPr>
          <w:rFonts w:ascii="Arial" w:eastAsia="Times New Roman" w:hAnsi="Arial" w:cs="Arial"/>
          <w:lang w:val="en" w:eastAsia="en-GB"/>
        </w:rPr>
        <w:t>:</w:t>
      </w:r>
    </w:p>
    <w:p w:rsidR="002050FB" w:rsidRPr="007C3EFA" w:rsidRDefault="002050FB" w:rsidP="002050FB">
      <w:pPr>
        <w:shd w:val="clear" w:color="auto" w:fill="FFFFFF"/>
        <w:spacing w:before="100" w:beforeAutospacing="1" w:after="360" w:line="240" w:lineRule="auto"/>
        <w:contextualSpacing/>
        <w:rPr>
          <w:rFonts w:ascii="Arial" w:eastAsia="Times New Roman" w:hAnsi="Arial" w:cs="Arial"/>
          <w:lang w:val="en" w:eastAsia="en-GB"/>
        </w:rPr>
      </w:pPr>
    </w:p>
    <w:p w:rsidR="002050FB" w:rsidRDefault="007C3EFA" w:rsidP="002050FB">
      <w:pPr>
        <w:numPr>
          <w:ilvl w:val="0"/>
          <w:numId w:val="1"/>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All students registered on undergraduate courses are allocated a member of teaching faculty from the ‘owning’ School, to be the named Academic Advisor. Where possible, this arrangement will last the duration of the course.</w:t>
      </w:r>
    </w:p>
    <w:p w:rsidR="002050FB" w:rsidRPr="007C3EFA" w:rsidRDefault="002050FB" w:rsidP="002050FB">
      <w:pPr>
        <w:shd w:val="clear" w:color="auto" w:fill="FFFFFF"/>
        <w:spacing w:before="100" w:beforeAutospacing="1" w:after="100" w:afterAutospacing="1" w:line="240" w:lineRule="auto"/>
        <w:ind w:left="480"/>
        <w:contextualSpacing/>
        <w:rPr>
          <w:rFonts w:ascii="Arial" w:eastAsia="Times New Roman" w:hAnsi="Arial" w:cs="Arial"/>
          <w:lang w:val="en" w:eastAsia="en-GB"/>
        </w:rPr>
      </w:pPr>
    </w:p>
    <w:p w:rsidR="007C3EFA" w:rsidRDefault="007C3EFA" w:rsidP="002050FB">
      <w:pPr>
        <w:numPr>
          <w:ilvl w:val="0"/>
          <w:numId w:val="1"/>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The Academic Advisor is responsible for inviting advisees to, and maintaining timely records of, attendance and content of any scheduled individual or group meetings designated as Academic Advising sessions.</w:t>
      </w:r>
    </w:p>
    <w:p w:rsidR="002050FB" w:rsidRPr="007C3EFA" w:rsidRDefault="002050FB" w:rsidP="002050FB">
      <w:pPr>
        <w:shd w:val="clear" w:color="auto" w:fill="FFFFFF"/>
        <w:spacing w:before="100" w:beforeAutospacing="1" w:after="100" w:afterAutospacing="1" w:line="240" w:lineRule="auto"/>
        <w:ind w:left="480"/>
        <w:contextualSpacing/>
        <w:rPr>
          <w:rFonts w:ascii="Arial" w:eastAsia="Times New Roman" w:hAnsi="Arial" w:cs="Arial"/>
          <w:lang w:val="en" w:eastAsia="en-GB"/>
        </w:rPr>
      </w:pPr>
    </w:p>
    <w:p w:rsidR="007C3EFA" w:rsidRDefault="007C3EFA" w:rsidP="002050FB">
      <w:pPr>
        <w:numPr>
          <w:ilvl w:val="0"/>
          <w:numId w:val="1"/>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 xml:space="preserve">Academic Advising sessions are distinctive, providing </w:t>
      </w:r>
      <w:proofErr w:type="gramStart"/>
      <w:r w:rsidRPr="007C3EFA">
        <w:rPr>
          <w:rFonts w:ascii="Arial" w:eastAsia="Times New Roman" w:hAnsi="Arial" w:cs="Arial"/>
          <w:lang w:val="en" w:eastAsia="en-GB"/>
        </w:rPr>
        <w:t>an</w:t>
      </w:r>
      <w:proofErr w:type="gramEnd"/>
      <w:r w:rsidRPr="007C3EFA">
        <w:rPr>
          <w:rFonts w:ascii="Arial" w:eastAsia="Times New Roman" w:hAnsi="Arial" w:cs="Arial"/>
          <w:lang w:val="en" w:eastAsia="en-GB"/>
        </w:rPr>
        <w:t xml:space="preserve"> holistic focus on student academic progress and engagement. The aim is to help and encourage the student, throughout the course, to actively identify and access support for improving academic skills and to contribute to, and reflect on, persona</w:t>
      </w:r>
      <w:r w:rsidR="002050FB">
        <w:rPr>
          <w:rFonts w:ascii="Arial" w:eastAsia="Times New Roman" w:hAnsi="Arial" w:cs="Arial"/>
          <w:lang w:val="en" w:eastAsia="en-GB"/>
        </w:rPr>
        <w:t>l development and career plans.</w:t>
      </w:r>
    </w:p>
    <w:p w:rsidR="002050FB" w:rsidRPr="007C3EFA" w:rsidRDefault="002050FB" w:rsidP="002050FB">
      <w:pPr>
        <w:shd w:val="clear" w:color="auto" w:fill="FFFFFF"/>
        <w:spacing w:before="100" w:beforeAutospacing="1" w:after="100" w:afterAutospacing="1" w:line="240" w:lineRule="auto"/>
        <w:ind w:left="480"/>
        <w:contextualSpacing/>
        <w:rPr>
          <w:rFonts w:ascii="Arial" w:eastAsia="Times New Roman" w:hAnsi="Arial" w:cs="Arial"/>
          <w:lang w:val="en" w:eastAsia="en-GB"/>
        </w:rPr>
      </w:pPr>
    </w:p>
    <w:p w:rsidR="007C3EFA" w:rsidRDefault="007C3EFA" w:rsidP="002050FB">
      <w:pPr>
        <w:numPr>
          <w:ilvl w:val="0"/>
          <w:numId w:val="1"/>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Students who experience barriers to study, requiring referral and/or intervention, may raise these issues with the Academic Advisor in these sessions. Any referrals made to specialist services, during such discussions may become the basis for agreed plans of action to ensure support needs are identified and progress is monitored.</w:t>
      </w:r>
    </w:p>
    <w:p w:rsidR="002050FB" w:rsidRPr="007C3EFA" w:rsidRDefault="002050FB" w:rsidP="002050FB">
      <w:pPr>
        <w:shd w:val="clear" w:color="auto" w:fill="FFFFFF"/>
        <w:spacing w:before="100" w:beforeAutospacing="1" w:after="100" w:afterAutospacing="1" w:line="240" w:lineRule="auto"/>
        <w:ind w:left="480"/>
        <w:contextualSpacing/>
        <w:rPr>
          <w:rFonts w:ascii="Arial" w:eastAsia="Times New Roman" w:hAnsi="Arial" w:cs="Arial"/>
          <w:lang w:val="en" w:eastAsia="en-GB"/>
        </w:rPr>
      </w:pPr>
    </w:p>
    <w:p w:rsidR="002050FB" w:rsidRPr="002050FB" w:rsidRDefault="007C3EFA" w:rsidP="002050FB">
      <w:pPr>
        <w:numPr>
          <w:ilvl w:val="0"/>
          <w:numId w:val="1"/>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Students are entitled to request a reference from their Academic Advisor. Attendance at Academic Advising sessions will normally be required for such a reference to be any more than a broad factual statement of doc</w:t>
      </w:r>
      <w:r w:rsidR="002050FB">
        <w:rPr>
          <w:rFonts w:ascii="Arial" w:eastAsia="Times New Roman" w:hAnsi="Arial" w:cs="Arial"/>
          <w:lang w:val="en" w:eastAsia="en-GB"/>
        </w:rPr>
        <w:t>umented progress on the course.</w:t>
      </w: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Pr="007C3EFA"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89372F" w:rsidRPr="0089372F" w:rsidRDefault="002050FB" w:rsidP="0089372F">
      <w:pPr>
        <w:shd w:val="clear" w:color="auto" w:fill="FFFFFF"/>
        <w:spacing w:before="100" w:beforeAutospacing="1" w:after="100" w:afterAutospacing="1" w:line="240" w:lineRule="auto"/>
        <w:contextualSpacing/>
        <w:rPr>
          <w:rFonts w:ascii="Arial" w:eastAsia="Times New Roman" w:hAnsi="Arial" w:cs="Arial"/>
          <w:b/>
          <w:lang w:val="en" w:eastAsia="en-GB"/>
        </w:rPr>
      </w:pPr>
      <w:r>
        <w:rPr>
          <w:rFonts w:ascii="Arial" w:eastAsia="Times New Roman" w:hAnsi="Arial" w:cs="Arial"/>
          <w:b/>
          <w:lang w:val="en" w:eastAsia="en-GB"/>
        </w:rPr>
        <w:lastRenderedPageBreak/>
        <w:t>3</w:t>
      </w:r>
      <w:r w:rsidR="007C3EFA" w:rsidRPr="007C3EFA">
        <w:rPr>
          <w:rFonts w:ascii="Arial" w:eastAsia="Times New Roman" w:hAnsi="Arial" w:cs="Arial"/>
          <w:b/>
          <w:lang w:val="en" w:eastAsia="en-GB"/>
        </w:rPr>
        <w:t xml:space="preserve">. Minimum requirements for academic advising </w:t>
      </w:r>
    </w:p>
    <w:p w:rsidR="007C3EFA" w:rsidRPr="007C3EFA" w:rsidRDefault="007C3EFA" w:rsidP="002050FB">
      <w:pPr>
        <w:pStyle w:val="PlainText"/>
        <w:contextualSpacing/>
        <w:jc w:val="both"/>
        <w:rPr>
          <w:rFonts w:ascii="Arial" w:hAnsi="Arial" w:cs="Arial"/>
          <w:szCs w:val="22"/>
        </w:rPr>
      </w:pPr>
      <w:r w:rsidRPr="007C3EFA">
        <w:rPr>
          <w:rFonts w:ascii="Arial" w:hAnsi="Arial" w:cs="Arial"/>
          <w:szCs w:val="22"/>
        </w:rPr>
        <w:t>The following table represents the institutional minimum standard for undergraduate academic advising:</w:t>
      </w:r>
    </w:p>
    <w:p w:rsidR="007C3EFA" w:rsidRPr="007C3EFA" w:rsidRDefault="007C3EFA" w:rsidP="002050FB">
      <w:pPr>
        <w:pStyle w:val="ListParagraph"/>
        <w:contextualSpacing/>
        <w:rPr>
          <w:rFonts w:ascii="Arial" w:hAnsi="Arial"/>
        </w:rPr>
      </w:pPr>
    </w:p>
    <w:tbl>
      <w:tblPr>
        <w:tblStyle w:val="TableGrid"/>
        <w:tblW w:w="0" w:type="auto"/>
        <w:tblInd w:w="704" w:type="dxa"/>
        <w:tblLayout w:type="fixed"/>
        <w:tblLook w:val="04A0" w:firstRow="1" w:lastRow="0" w:firstColumn="1" w:lastColumn="0" w:noHBand="0" w:noVBand="1"/>
      </w:tblPr>
      <w:tblGrid>
        <w:gridCol w:w="1276"/>
        <w:gridCol w:w="1559"/>
        <w:gridCol w:w="1276"/>
        <w:gridCol w:w="1417"/>
        <w:gridCol w:w="1418"/>
        <w:gridCol w:w="1366"/>
      </w:tblGrid>
      <w:tr w:rsidR="007C3EFA" w:rsidRPr="007C3EFA" w:rsidTr="002050FB">
        <w:tc>
          <w:tcPr>
            <w:tcW w:w="2835" w:type="dxa"/>
            <w:gridSpan w:val="2"/>
          </w:tcPr>
          <w:p w:rsidR="007C3EFA" w:rsidRPr="007C3EFA" w:rsidRDefault="007C3EFA" w:rsidP="002050FB">
            <w:pPr>
              <w:pStyle w:val="PlainText"/>
              <w:contextualSpacing/>
              <w:jc w:val="center"/>
              <w:rPr>
                <w:rFonts w:ascii="Arial" w:hAnsi="Arial" w:cs="Arial"/>
                <w:szCs w:val="22"/>
              </w:rPr>
            </w:pPr>
            <w:r w:rsidRPr="007C3EFA">
              <w:rPr>
                <w:rFonts w:ascii="Arial" w:hAnsi="Arial" w:cs="Arial"/>
                <w:szCs w:val="22"/>
              </w:rPr>
              <w:t>First year students</w:t>
            </w:r>
          </w:p>
        </w:tc>
        <w:tc>
          <w:tcPr>
            <w:tcW w:w="2693" w:type="dxa"/>
            <w:gridSpan w:val="2"/>
          </w:tcPr>
          <w:p w:rsidR="007C3EFA" w:rsidRPr="007C3EFA" w:rsidRDefault="007C3EFA" w:rsidP="002050FB">
            <w:pPr>
              <w:pStyle w:val="PlainText"/>
              <w:contextualSpacing/>
              <w:jc w:val="center"/>
              <w:rPr>
                <w:rFonts w:ascii="Arial" w:hAnsi="Arial" w:cs="Arial"/>
                <w:szCs w:val="22"/>
              </w:rPr>
            </w:pPr>
            <w:r w:rsidRPr="007C3EFA">
              <w:rPr>
                <w:rFonts w:ascii="Arial" w:hAnsi="Arial" w:cs="Arial"/>
                <w:szCs w:val="22"/>
              </w:rPr>
              <w:t>Second year students</w:t>
            </w:r>
          </w:p>
        </w:tc>
        <w:tc>
          <w:tcPr>
            <w:tcW w:w="2784" w:type="dxa"/>
            <w:gridSpan w:val="2"/>
          </w:tcPr>
          <w:p w:rsidR="007C3EFA" w:rsidRPr="007C3EFA" w:rsidRDefault="007C3EFA" w:rsidP="002050FB">
            <w:pPr>
              <w:pStyle w:val="PlainText"/>
              <w:contextualSpacing/>
              <w:jc w:val="center"/>
              <w:rPr>
                <w:rFonts w:ascii="Arial" w:hAnsi="Arial" w:cs="Arial"/>
                <w:szCs w:val="22"/>
              </w:rPr>
            </w:pPr>
            <w:r w:rsidRPr="007C3EFA">
              <w:rPr>
                <w:rFonts w:ascii="Arial" w:hAnsi="Arial" w:cs="Arial"/>
                <w:szCs w:val="22"/>
              </w:rPr>
              <w:t>Third year students</w:t>
            </w:r>
          </w:p>
        </w:tc>
      </w:tr>
      <w:tr w:rsidR="007C3EFA" w:rsidRPr="007C3EFA" w:rsidTr="002050FB">
        <w:tc>
          <w:tcPr>
            <w:tcW w:w="127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Week 0/1</w:t>
            </w:r>
          </w:p>
        </w:tc>
        <w:tc>
          <w:tcPr>
            <w:tcW w:w="1559"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Group academic advising meeting</w:t>
            </w:r>
          </w:p>
        </w:tc>
        <w:tc>
          <w:tcPr>
            <w:tcW w:w="127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TB1 Week 3/4</w:t>
            </w:r>
          </w:p>
        </w:tc>
        <w:tc>
          <w:tcPr>
            <w:tcW w:w="1417"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1-2-1 meeting to reflect on goals for year 2</w:t>
            </w:r>
          </w:p>
        </w:tc>
        <w:tc>
          <w:tcPr>
            <w:tcW w:w="1418"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TB1 Week 4/5</w:t>
            </w:r>
          </w:p>
        </w:tc>
        <w:tc>
          <w:tcPr>
            <w:tcW w:w="136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1-2-1 meeting to reflect on goals for year 3</w:t>
            </w:r>
          </w:p>
        </w:tc>
      </w:tr>
      <w:tr w:rsidR="007C3EFA" w:rsidRPr="007C3EFA" w:rsidTr="002050FB">
        <w:tc>
          <w:tcPr>
            <w:tcW w:w="127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Week 2/3</w:t>
            </w:r>
          </w:p>
        </w:tc>
        <w:tc>
          <w:tcPr>
            <w:tcW w:w="1559" w:type="dxa"/>
          </w:tcPr>
          <w:p w:rsidR="007C3EFA" w:rsidRPr="007C3EFA" w:rsidRDefault="007C3EFA" w:rsidP="002050FB">
            <w:pPr>
              <w:pStyle w:val="PlainText"/>
              <w:ind w:right="208"/>
              <w:contextualSpacing/>
              <w:rPr>
                <w:rFonts w:ascii="Arial" w:hAnsi="Arial" w:cs="Arial"/>
                <w:szCs w:val="22"/>
              </w:rPr>
            </w:pPr>
            <w:r w:rsidRPr="007C3EFA">
              <w:rPr>
                <w:rFonts w:ascii="Arial" w:hAnsi="Arial" w:cs="Arial"/>
                <w:szCs w:val="22"/>
              </w:rPr>
              <w:t>1-2-1 meeting to set goals</w:t>
            </w:r>
          </w:p>
        </w:tc>
        <w:tc>
          <w:tcPr>
            <w:tcW w:w="127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TB2 Week 3/4</w:t>
            </w:r>
          </w:p>
        </w:tc>
        <w:tc>
          <w:tcPr>
            <w:tcW w:w="1417"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1-2-1 meeting to discuss progress</w:t>
            </w:r>
          </w:p>
        </w:tc>
        <w:tc>
          <w:tcPr>
            <w:tcW w:w="1418"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TB2 Week 4/5</w:t>
            </w:r>
          </w:p>
        </w:tc>
        <w:tc>
          <w:tcPr>
            <w:tcW w:w="136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1-2-1 meeting to discuss progress</w:t>
            </w:r>
          </w:p>
        </w:tc>
      </w:tr>
      <w:tr w:rsidR="007C3EFA" w:rsidRPr="007C3EFA" w:rsidTr="002050FB">
        <w:trPr>
          <w:gridAfter w:val="4"/>
          <w:wAfter w:w="5477" w:type="dxa"/>
        </w:trPr>
        <w:tc>
          <w:tcPr>
            <w:tcW w:w="127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Week 6/8</w:t>
            </w:r>
          </w:p>
        </w:tc>
        <w:tc>
          <w:tcPr>
            <w:tcW w:w="1559" w:type="dxa"/>
          </w:tcPr>
          <w:p w:rsidR="007C3EFA" w:rsidRPr="007C3EFA" w:rsidRDefault="007C3EFA" w:rsidP="002050FB">
            <w:pPr>
              <w:pStyle w:val="PlainText"/>
              <w:ind w:right="208"/>
              <w:contextualSpacing/>
              <w:rPr>
                <w:rFonts w:ascii="Arial" w:hAnsi="Arial" w:cs="Arial"/>
                <w:szCs w:val="22"/>
              </w:rPr>
            </w:pPr>
            <w:r w:rsidRPr="007C3EFA">
              <w:rPr>
                <w:rFonts w:ascii="Arial" w:hAnsi="Arial" w:cs="Arial"/>
                <w:szCs w:val="22"/>
              </w:rPr>
              <w:t>Further Group academic advising meeting</w:t>
            </w:r>
          </w:p>
        </w:tc>
      </w:tr>
      <w:tr w:rsidR="007C3EFA" w:rsidRPr="007C3EFA" w:rsidTr="002050FB">
        <w:trPr>
          <w:gridAfter w:val="4"/>
          <w:wAfter w:w="5477" w:type="dxa"/>
        </w:trPr>
        <w:tc>
          <w:tcPr>
            <w:tcW w:w="1276" w:type="dxa"/>
          </w:tcPr>
          <w:p w:rsidR="007C3EFA" w:rsidRPr="007C3EFA" w:rsidRDefault="007C3EFA" w:rsidP="002050FB">
            <w:pPr>
              <w:pStyle w:val="PlainText"/>
              <w:contextualSpacing/>
              <w:rPr>
                <w:rFonts w:ascii="Arial" w:hAnsi="Arial" w:cs="Arial"/>
                <w:szCs w:val="22"/>
              </w:rPr>
            </w:pPr>
            <w:r w:rsidRPr="007C3EFA">
              <w:rPr>
                <w:rFonts w:ascii="Arial" w:hAnsi="Arial" w:cs="Arial"/>
                <w:szCs w:val="22"/>
              </w:rPr>
              <w:t>February / March</w:t>
            </w:r>
          </w:p>
        </w:tc>
        <w:tc>
          <w:tcPr>
            <w:tcW w:w="1559" w:type="dxa"/>
          </w:tcPr>
          <w:p w:rsidR="007C3EFA" w:rsidRPr="007C3EFA" w:rsidRDefault="007C3EFA" w:rsidP="002050FB">
            <w:pPr>
              <w:pStyle w:val="PlainText"/>
              <w:ind w:right="208"/>
              <w:contextualSpacing/>
              <w:rPr>
                <w:rFonts w:ascii="Arial" w:hAnsi="Arial" w:cs="Arial"/>
                <w:szCs w:val="22"/>
              </w:rPr>
            </w:pPr>
            <w:r w:rsidRPr="007C3EFA">
              <w:rPr>
                <w:rFonts w:ascii="Arial" w:hAnsi="Arial" w:cs="Arial"/>
                <w:szCs w:val="22"/>
              </w:rPr>
              <w:t>Follow up 1-2-1s to reflect on progress as appropriate</w:t>
            </w:r>
          </w:p>
        </w:tc>
      </w:tr>
    </w:tbl>
    <w:p w:rsidR="002050FB" w:rsidRDefault="002050FB" w:rsidP="002050FB">
      <w:pPr>
        <w:pStyle w:val="PlainText"/>
        <w:spacing w:line="276" w:lineRule="auto"/>
        <w:contextualSpacing/>
        <w:rPr>
          <w:rFonts w:ascii="Arial" w:hAnsi="Arial" w:cs="Arial"/>
        </w:rPr>
      </w:pPr>
    </w:p>
    <w:p w:rsidR="007C3EFA" w:rsidRDefault="007C3EFA" w:rsidP="002050FB">
      <w:pPr>
        <w:pStyle w:val="PlainText"/>
        <w:spacing w:line="276" w:lineRule="auto"/>
        <w:contextualSpacing/>
        <w:rPr>
          <w:rFonts w:ascii="Arial" w:hAnsi="Arial" w:cs="Arial"/>
        </w:rPr>
      </w:pPr>
      <w:r w:rsidRPr="007C3EFA">
        <w:rPr>
          <w:rFonts w:ascii="Arial" w:hAnsi="Arial" w:cs="Arial"/>
        </w:rPr>
        <w:t xml:space="preserve">The schedule is a minimum standard for advising, although Schools are free to arrange sessions in addition to this schedule. The precise weeks for these sessions have some flexibility to cater for differences in Schools’ teaching and intake patterns. </w:t>
      </w:r>
    </w:p>
    <w:p w:rsidR="00D755DF" w:rsidRDefault="00D755DF" w:rsidP="002050FB">
      <w:pPr>
        <w:pStyle w:val="PlainText"/>
        <w:spacing w:line="276" w:lineRule="auto"/>
        <w:contextualSpacing/>
        <w:rPr>
          <w:rFonts w:ascii="Arial" w:hAnsi="Arial" w:cs="Arial"/>
        </w:rPr>
      </w:pPr>
    </w:p>
    <w:p w:rsidR="00D755DF" w:rsidRDefault="00D755DF" w:rsidP="002050FB">
      <w:pPr>
        <w:pStyle w:val="PlainText"/>
        <w:spacing w:line="276" w:lineRule="auto"/>
        <w:contextualSpacing/>
        <w:rPr>
          <w:rFonts w:ascii="Arial" w:hAnsi="Arial" w:cs="Arial"/>
        </w:rPr>
      </w:pPr>
      <w:r>
        <w:rPr>
          <w:rFonts w:ascii="Arial" w:hAnsi="Arial" w:cs="Arial"/>
        </w:rPr>
        <w:t xml:space="preserve">Sessions must be booked and using the events booking functionality on Sussex Direct to ensure that sessions appear in timetables for staff and students. Attendance or non-attendance at these sessions must also be recorded. Responsibility for booking and recording sessions remains with the individual School. </w:t>
      </w:r>
    </w:p>
    <w:p w:rsidR="0089372F" w:rsidRDefault="0089372F" w:rsidP="002050FB">
      <w:pPr>
        <w:pStyle w:val="PlainText"/>
        <w:spacing w:line="276" w:lineRule="auto"/>
        <w:contextualSpacing/>
        <w:rPr>
          <w:rFonts w:ascii="Arial" w:hAnsi="Arial" w:cs="Arial"/>
        </w:rPr>
      </w:pPr>
    </w:p>
    <w:p w:rsidR="0089372F" w:rsidRPr="0089372F" w:rsidRDefault="0089372F" w:rsidP="0089372F">
      <w:pPr>
        <w:pStyle w:val="PlainText"/>
        <w:contextualSpacing/>
        <w:jc w:val="both"/>
        <w:rPr>
          <w:rFonts w:ascii="Arial" w:hAnsi="Arial" w:cs="Arial"/>
          <w:b/>
        </w:rPr>
      </w:pPr>
      <w:r w:rsidRPr="0089372F">
        <w:rPr>
          <w:rFonts w:ascii="Arial" w:hAnsi="Arial" w:cs="Arial"/>
          <w:b/>
        </w:rPr>
        <w:t xml:space="preserve">4. Academic advising allocation </w:t>
      </w:r>
    </w:p>
    <w:p w:rsidR="0089372F" w:rsidRDefault="0089372F" w:rsidP="0089372F">
      <w:pPr>
        <w:pStyle w:val="PlainText"/>
        <w:contextualSpacing/>
        <w:jc w:val="both"/>
        <w:rPr>
          <w:rFonts w:ascii="Arial" w:hAnsi="Arial" w:cs="Arial"/>
        </w:rPr>
      </w:pPr>
    </w:p>
    <w:p w:rsidR="0089372F" w:rsidRDefault="0089372F" w:rsidP="0089372F">
      <w:pPr>
        <w:pStyle w:val="PlainText"/>
        <w:contextualSpacing/>
        <w:jc w:val="both"/>
        <w:rPr>
          <w:rFonts w:ascii="Arial" w:hAnsi="Arial" w:cs="Arial"/>
        </w:rPr>
      </w:pPr>
      <w:r>
        <w:rPr>
          <w:rFonts w:ascii="Arial" w:hAnsi="Arial" w:cs="Arial"/>
        </w:rPr>
        <w:t>All faculty will participate in academic advising. Academic advising should not be undertaken by Doctoral Teaching Assistants or Associate Tutors. A cap of 25 academic advisees per member of staff should be introduced.</w:t>
      </w:r>
    </w:p>
    <w:p w:rsidR="0089372F" w:rsidRDefault="0089372F" w:rsidP="0089372F">
      <w:pPr>
        <w:pStyle w:val="PlainText"/>
        <w:contextualSpacing/>
        <w:jc w:val="both"/>
        <w:rPr>
          <w:rFonts w:ascii="Arial" w:hAnsi="Arial" w:cs="Arial"/>
        </w:rPr>
      </w:pPr>
    </w:p>
    <w:p w:rsidR="0089372F" w:rsidRDefault="0089372F" w:rsidP="0089372F">
      <w:pPr>
        <w:pStyle w:val="PlainText"/>
        <w:contextualSpacing/>
        <w:jc w:val="both"/>
        <w:rPr>
          <w:rFonts w:ascii="Arial" w:hAnsi="Arial" w:cs="Arial"/>
        </w:rPr>
      </w:pPr>
      <w:r>
        <w:rPr>
          <w:rFonts w:ascii="Arial" w:hAnsi="Arial" w:cs="Arial"/>
        </w:rPr>
        <w:t xml:space="preserve">School systems for allocating academic advisors should ensure that: </w:t>
      </w:r>
    </w:p>
    <w:p w:rsidR="0089372F" w:rsidRDefault="0089372F" w:rsidP="0089372F">
      <w:pPr>
        <w:pStyle w:val="ListParagraph"/>
        <w:rPr>
          <w:rFonts w:ascii="Arial" w:hAnsi="Arial"/>
        </w:rPr>
      </w:pPr>
    </w:p>
    <w:p w:rsidR="0089372F" w:rsidRDefault="0089372F" w:rsidP="0089372F">
      <w:pPr>
        <w:pStyle w:val="PlainText"/>
        <w:numPr>
          <w:ilvl w:val="0"/>
          <w:numId w:val="5"/>
        </w:numPr>
        <w:contextualSpacing/>
        <w:jc w:val="both"/>
        <w:rPr>
          <w:rFonts w:ascii="Arial" w:hAnsi="Arial" w:cs="Arial"/>
        </w:rPr>
      </w:pPr>
      <w:r>
        <w:rPr>
          <w:rFonts w:ascii="Arial" w:hAnsi="Arial" w:cs="Arial"/>
        </w:rPr>
        <w:t>students are allocated an advisor with subject knowledge relevant to the degree title</w:t>
      </w:r>
    </w:p>
    <w:p w:rsidR="0089372F" w:rsidRDefault="0089372F" w:rsidP="0089372F">
      <w:pPr>
        <w:pStyle w:val="PlainText"/>
        <w:numPr>
          <w:ilvl w:val="0"/>
          <w:numId w:val="5"/>
        </w:numPr>
        <w:contextualSpacing/>
        <w:jc w:val="both"/>
        <w:rPr>
          <w:rFonts w:ascii="Arial" w:hAnsi="Arial" w:cs="Arial"/>
        </w:rPr>
      </w:pPr>
      <w:r>
        <w:rPr>
          <w:rFonts w:ascii="Arial" w:hAnsi="Arial" w:cs="Arial"/>
        </w:rPr>
        <w:t>students remain with the same advisor for the duration of their studies, except where this is not possible, for example owing to sabbatical</w:t>
      </w:r>
    </w:p>
    <w:p w:rsidR="0089372F" w:rsidRDefault="0089372F" w:rsidP="0089372F">
      <w:pPr>
        <w:pStyle w:val="PlainText"/>
        <w:numPr>
          <w:ilvl w:val="0"/>
          <w:numId w:val="5"/>
        </w:numPr>
        <w:contextualSpacing/>
        <w:jc w:val="both"/>
        <w:rPr>
          <w:rFonts w:ascii="Arial" w:hAnsi="Arial" w:cs="Arial"/>
        </w:rPr>
      </w:pPr>
      <w:r>
        <w:rPr>
          <w:rFonts w:ascii="Arial" w:hAnsi="Arial" w:cs="Arial"/>
        </w:rPr>
        <w:t>students can request a change of academic advisor</w:t>
      </w:r>
    </w:p>
    <w:p w:rsidR="0089372F" w:rsidRDefault="0089372F" w:rsidP="0089372F">
      <w:pPr>
        <w:pStyle w:val="PlainText"/>
        <w:contextualSpacing/>
        <w:jc w:val="both"/>
        <w:rPr>
          <w:rFonts w:ascii="Arial" w:hAnsi="Arial" w:cs="Arial"/>
          <w:szCs w:val="22"/>
        </w:rPr>
      </w:pPr>
    </w:p>
    <w:p w:rsidR="0089372F" w:rsidRDefault="0089372F" w:rsidP="002050FB">
      <w:pPr>
        <w:pStyle w:val="PlainText"/>
        <w:spacing w:line="276" w:lineRule="auto"/>
        <w:contextualSpacing/>
        <w:rPr>
          <w:rFonts w:ascii="Arial" w:hAnsi="Arial" w:cs="Arial"/>
        </w:rPr>
      </w:pPr>
    </w:p>
    <w:p w:rsidR="002050FB" w:rsidRPr="007C3EFA" w:rsidRDefault="002050FB" w:rsidP="002050FB">
      <w:pPr>
        <w:pStyle w:val="PlainText"/>
        <w:spacing w:line="276" w:lineRule="auto"/>
        <w:contextualSpacing/>
        <w:rPr>
          <w:rFonts w:ascii="Arial" w:hAnsi="Arial" w:cs="Arial"/>
        </w:rPr>
      </w:pPr>
    </w:p>
    <w:p w:rsidR="007C3EFA" w:rsidRDefault="0089372F" w:rsidP="002050FB">
      <w:pPr>
        <w:shd w:val="clear" w:color="auto" w:fill="FFFFFF"/>
        <w:spacing w:before="100" w:beforeAutospacing="1" w:after="360" w:line="240" w:lineRule="auto"/>
        <w:contextualSpacing/>
        <w:rPr>
          <w:rFonts w:ascii="Arial" w:eastAsia="Times New Roman" w:hAnsi="Arial" w:cs="Arial"/>
          <w:b/>
          <w:bCs/>
          <w:lang w:val="en" w:eastAsia="en-GB"/>
        </w:rPr>
      </w:pPr>
      <w:r>
        <w:rPr>
          <w:rFonts w:ascii="Arial" w:eastAsia="Times New Roman" w:hAnsi="Arial" w:cs="Arial"/>
          <w:b/>
          <w:bCs/>
          <w:lang w:val="en" w:eastAsia="en-GB"/>
        </w:rPr>
        <w:lastRenderedPageBreak/>
        <w:t>5</w:t>
      </w:r>
      <w:r w:rsidR="007C3EFA">
        <w:rPr>
          <w:rFonts w:ascii="Arial" w:eastAsia="Times New Roman" w:hAnsi="Arial" w:cs="Arial"/>
          <w:b/>
          <w:bCs/>
          <w:lang w:val="en" w:eastAsia="en-GB"/>
        </w:rPr>
        <w:t xml:space="preserve">. </w:t>
      </w:r>
      <w:r w:rsidR="007C3EFA" w:rsidRPr="007C3EFA">
        <w:rPr>
          <w:rFonts w:ascii="Arial" w:eastAsia="Times New Roman" w:hAnsi="Arial" w:cs="Arial"/>
          <w:b/>
          <w:bCs/>
          <w:lang w:val="en" w:eastAsia="en-GB"/>
        </w:rPr>
        <w:t>Process</w:t>
      </w:r>
      <w:r w:rsidR="007C3EFA" w:rsidRPr="007C3EFA">
        <w:rPr>
          <w:rFonts w:ascii="Arial" w:eastAsia="Times New Roman" w:hAnsi="Arial" w:cs="Arial"/>
          <w:lang w:val="en" w:eastAsia="en-GB"/>
        </w:rPr>
        <w:t xml:space="preserve"> </w:t>
      </w:r>
      <w:r w:rsidR="007C3EFA" w:rsidRPr="007C3EFA">
        <w:rPr>
          <w:rFonts w:ascii="Arial" w:eastAsia="Times New Roman" w:hAnsi="Arial" w:cs="Arial"/>
          <w:b/>
          <w:bCs/>
          <w:lang w:val="en" w:eastAsia="en-GB"/>
        </w:rPr>
        <w:t>to support delivery of Academic Advising Activities </w:t>
      </w:r>
    </w:p>
    <w:p w:rsidR="002050FB" w:rsidRPr="007C3EFA" w:rsidRDefault="002050FB" w:rsidP="002050FB">
      <w:pPr>
        <w:shd w:val="clear" w:color="auto" w:fill="FFFFFF"/>
        <w:spacing w:before="100" w:beforeAutospacing="1" w:after="360" w:line="240" w:lineRule="auto"/>
        <w:contextualSpacing/>
        <w:rPr>
          <w:rFonts w:ascii="Arial" w:eastAsia="Times New Roman" w:hAnsi="Arial" w:cs="Arial"/>
          <w:lang w:val="en" w:eastAsia="en-GB"/>
        </w:rPr>
      </w:pPr>
    </w:p>
    <w:p w:rsidR="007C3EFA" w:rsidRDefault="007C3EFA" w:rsidP="002050FB">
      <w:pPr>
        <w:numPr>
          <w:ilvl w:val="0"/>
          <w:numId w:val="2"/>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In order to ensure there is a parity of student experience in Schools, whilst allowing for acceptable levels of diversity in delivering Academic Advising sessions, resources and training for the Advisors are available online</w:t>
      </w:r>
      <w:r w:rsidR="002050FB">
        <w:rPr>
          <w:rFonts w:ascii="Arial" w:eastAsia="Times New Roman" w:hAnsi="Arial" w:cs="Arial"/>
          <w:lang w:val="en" w:eastAsia="en-GB"/>
        </w:rPr>
        <w:t xml:space="preserve"> through Study Direct</w:t>
      </w:r>
      <w:r w:rsidRPr="007C3EFA">
        <w:rPr>
          <w:rFonts w:ascii="Arial" w:eastAsia="Times New Roman" w:hAnsi="Arial" w:cs="Arial"/>
          <w:lang w:val="en" w:eastAsia="en-GB"/>
        </w:rPr>
        <w:t>.</w:t>
      </w:r>
    </w:p>
    <w:p w:rsidR="002050FB" w:rsidRPr="007C3EFA" w:rsidRDefault="002050FB" w:rsidP="002050FB">
      <w:pPr>
        <w:shd w:val="clear" w:color="auto" w:fill="FFFFFF"/>
        <w:spacing w:before="100" w:beforeAutospacing="1" w:after="100" w:afterAutospacing="1" w:line="240" w:lineRule="auto"/>
        <w:ind w:left="480"/>
        <w:contextualSpacing/>
        <w:rPr>
          <w:rFonts w:ascii="Arial" w:eastAsia="Times New Roman" w:hAnsi="Arial" w:cs="Arial"/>
          <w:lang w:val="en" w:eastAsia="en-GB"/>
        </w:rPr>
      </w:pPr>
    </w:p>
    <w:p w:rsidR="007C3EFA" w:rsidRDefault="007C3EFA" w:rsidP="002050FB">
      <w:pPr>
        <w:numPr>
          <w:ilvl w:val="0"/>
          <w:numId w:val="2"/>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Information includes: links to specialist support services and referral processes; pro-</w:t>
      </w:r>
      <w:proofErr w:type="spellStart"/>
      <w:r w:rsidRPr="007C3EFA">
        <w:rPr>
          <w:rFonts w:ascii="Arial" w:eastAsia="Times New Roman" w:hAnsi="Arial" w:cs="Arial"/>
          <w:lang w:val="en" w:eastAsia="en-GB"/>
        </w:rPr>
        <w:t>formas</w:t>
      </w:r>
      <w:proofErr w:type="spellEnd"/>
      <w:r w:rsidRPr="007C3EFA">
        <w:rPr>
          <w:rFonts w:ascii="Arial" w:eastAsia="Times New Roman" w:hAnsi="Arial" w:cs="Arial"/>
          <w:lang w:val="en" w:eastAsia="en-GB"/>
        </w:rPr>
        <w:t xml:space="preserve"> for the academic advising sessions and guidance on best practice for individual and group activities. The resources will be updated and expanded, as required to maintain best practice, and may be aligned to a general resource bank for teaching staff on matters related to inclusive teaching.</w:t>
      </w:r>
    </w:p>
    <w:p w:rsidR="002050FB" w:rsidRPr="007C3EFA"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7C3EFA" w:rsidRDefault="007C3EFA" w:rsidP="002050FB">
      <w:pPr>
        <w:numPr>
          <w:ilvl w:val="0"/>
          <w:numId w:val="2"/>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The Director of Student Experience (</w:t>
      </w:r>
      <w:proofErr w:type="spellStart"/>
      <w:r w:rsidRPr="007C3EFA">
        <w:rPr>
          <w:rFonts w:ascii="Arial" w:eastAsia="Times New Roman" w:hAnsi="Arial" w:cs="Arial"/>
          <w:lang w:val="en" w:eastAsia="en-GB"/>
        </w:rPr>
        <w:t>DoSE</w:t>
      </w:r>
      <w:proofErr w:type="spellEnd"/>
      <w:r w:rsidRPr="007C3EFA">
        <w:rPr>
          <w:rFonts w:ascii="Arial" w:eastAsia="Times New Roman" w:hAnsi="Arial" w:cs="Arial"/>
          <w:lang w:val="en" w:eastAsia="en-GB"/>
        </w:rPr>
        <w:t>) in the School is responsible for monitoring the effectiveness of the Academic Advising system. Staff and students will be encouraged to comment on aspects of good practice and make suggestions for improvements at an annual review. This might form part of the School meeting, or at another appropriate forum or using a different channel of communication.</w:t>
      </w:r>
    </w:p>
    <w:p w:rsidR="002050FB" w:rsidRPr="007C3EFA"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7C3EFA" w:rsidRDefault="007C3EFA" w:rsidP="002050FB">
      <w:pPr>
        <w:numPr>
          <w:ilvl w:val="0"/>
          <w:numId w:val="2"/>
        </w:numPr>
        <w:shd w:val="clear" w:color="auto" w:fill="FFFFFF"/>
        <w:spacing w:before="100" w:beforeAutospacing="1" w:after="100" w:afterAutospacing="1" w:line="240" w:lineRule="auto"/>
        <w:ind w:left="480"/>
        <w:contextualSpacing/>
        <w:rPr>
          <w:rFonts w:ascii="Arial" w:eastAsia="Times New Roman" w:hAnsi="Arial" w:cs="Arial"/>
          <w:lang w:val="en" w:eastAsia="en-GB"/>
        </w:rPr>
      </w:pPr>
      <w:r w:rsidRPr="007C3EFA">
        <w:rPr>
          <w:rFonts w:ascii="Arial" w:eastAsia="Times New Roman" w:hAnsi="Arial" w:cs="Arial"/>
          <w:lang w:val="en" w:eastAsia="en-GB"/>
        </w:rPr>
        <w:t xml:space="preserve">The </w:t>
      </w:r>
      <w:proofErr w:type="spellStart"/>
      <w:r w:rsidRPr="007C3EFA">
        <w:rPr>
          <w:rFonts w:ascii="Arial" w:eastAsia="Times New Roman" w:hAnsi="Arial" w:cs="Arial"/>
          <w:lang w:val="en" w:eastAsia="en-GB"/>
        </w:rPr>
        <w:t>DoSEs</w:t>
      </w:r>
      <w:proofErr w:type="spellEnd"/>
      <w:r w:rsidRPr="007C3EFA">
        <w:rPr>
          <w:rFonts w:ascii="Arial" w:eastAsia="Times New Roman" w:hAnsi="Arial" w:cs="Arial"/>
          <w:lang w:val="en" w:eastAsia="en-GB"/>
        </w:rPr>
        <w:t xml:space="preserve"> hold regular meetings for discussion and exchange of ‘best practice’. Should they identify any systemic or quality assurance issues these will be taken to the Student Engagement </w:t>
      </w:r>
      <w:r>
        <w:rPr>
          <w:rFonts w:ascii="Arial" w:eastAsia="Times New Roman" w:hAnsi="Arial" w:cs="Arial"/>
          <w:lang w:val="en" w:eastAsia="en-GB"/>
        </w:rPr>
        <w:t>Sub Committee</w:t>
      </w:r>
      <w:r w:rsidRPr="007C3EFA">
        <w:rPr>
          <w:rFonts w:ascii="Arial" w:eastAsia="Times New Roman" w:hAnsi="Arial" w:cs="Arial"/>
          <w:lang w:val="en" w:eastAsia="en-GB"/>
        </w:rPr>
        <w:t xml:space="preserve"> for </w:t>
      </w:r>
      <w:proofErr w:type="gramStart"/>
      <w:r w:rsidRPr="007C3EFA">
        <w:rPr>
          <w:rFonts w:ascii="Arial" w:eastAsia="Times New Roman" w:hAnsi="Arial" w:cs="Arial"/>
          <w:lang w:val="en" w:eastAsia="en-GB"/>
        </w:rPr>
        <w:t>consideration.</w:t>
      </w:r>
      <w:proofErr w:type="gramEnd"/>
    </w:p>
    <w:p w:rsidR="002050FB" w:rsidRPr="007C3EFA"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2050FB" w:rsidRPr="002050FB" w:rsidRDefault="002050FB" w:rsidP="002050FB">
      <w:pPr>
        <w:shd w:val="clear" w:color="auto" w:fill="FFFFFF"/>
        <w:spacing w:before="100" w:beforeAutospacing="1" w:after="100" w:afterAutospacing="1" w:line="240" w:lineRule="auto"/>
        <w:contextualSpacing/>
        <w:rPr>
          <w:rFonts w:ascii="Arial" w:eastAsia="Times New Roman" w:hAnsi="Arial" w:cs="Arial"/>
          <w:b/>
          <w:lang w:val="en" w:eastAsia="en-GB"/>
        </w:rPr>
      </w:pPr>
      <w:r>
        <w:rPr>
          <w:rFonts w:ascii="Arial" w:eastAsia="Times New Roman" w:hAnsi="Arial" w:cs="Arial"/>
          <w:b/>
          <w:lang w:val="en" w:eastAsia="en-GB"/>
        </w:rPr>
        <w:t>5</w:t>
      </w:r>
      <w:r w:rsidRPr="002050FB">
        <w:rPr>
          <w:rFonts w:ascii="Arial" w:eastAsia="Times New Roman" w:hAnsi="Arial" w:cs="Arial"/>
          <w:b/>
          <w:lang w:val="en" w:eastAsia="en-GB"/>
        </w:rPr>
        <w:t>. Policy oversight</w:t>
      </w:r>
    </w:p>
    <w:p w:rsidR="002050FB"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p>
    <w:p w:rsidR="007C3EFA" w:rsidRPr="007C3EFA" w:rsidRDefault="002050FB" w:rsidP="002050FB">
      <w:pPr>
        <w:shd w:val="clear" w:color="auto" w:fill="FFFFFF"/>
        <w:spacing w:before="100" w:beforeAutospacing="1" w:after="100" w:afterAutospacing="1" w:line="240" w:lineRule="auto"/>
        <w:contextualSpacing/>
        <w:rPr>
          <w:rFonts w:ascii="Arial" w:eastAsia="Times New Roman" w:hAnsi="Arial" w:cs="Arial"/>
          <w:lang w:val="en" w:eastAsia="en-GB"/>
        </w:rPr>
      </w:pPr>
      <w:r>
        <w:rPr>
          <w:rFonts w:ascii="Arial" w:eastAsia="Times New Roman" w:hAnsi="Arial" w:cs="Arial"/>
          <w:lang w:val="en" w:eastAsia="en-GB"/>
        </w:rPr>
        <w:t>Oversight of the policy on academic a</w:t>
      </w:r>
      <w:r w:rsidR="007C3EFA" w:rsidRPr="007C3EFA">
        <w:rPr>
          <w:rFonts w:ascii="Arial" w:eastAsia="Times New Roman" w:hAnsi="Arial" w:cs="Arial"/>
          <w:lang w:val="en" w:eastAsia="en-GB"/>
        </w:rPr>
        <w:t xml:space="preserve">dvising lies with the University Teaching and Learning Committee and will be maintained by </w:t>
      </w:r>
      <w:r>
        <w:rPr>
          <w:rFonts w:ascii="Arial" w:eastAsia="Times New Roman" w:hAnsi="Arial" w:cs="Arial"/>
          <w:lang w:val="en" w:eastAsia="en-GB"/>
        </w:rPr>
        <w:t xml:space="preserve">the </w:t>
      </w:r>
      <w:r w:rsidR="007C3EFA" w:rsidRPr="007C3EFA">
        <w:rPr>
          <w:rFonts w:ascii="Arial" w:eastAsia="Times New Roman" w:hAnsi="Arial" w:cs="Arial"/>
          <w:lang w:val="en" w:eastAsia="en-GB"/>
        </w:rPr>
        <w:t>Academic Development Quality Enhancement</w:t>
      </w:r>
      <w:r>
        <w:rPr>
          <w:rFonts w:ascii="Arial" w:eastAsia="Times New Roman" w:hAnsi="Arial" w:cs="Arial"/>
          <w:lang w:val="en" w:eastAsia="en-GB"/>
        </w:rPr>
        <w:t xml:space="preserve"> (ADQE) Office</w:t>
      </w:r>
      <w:r w:rsidR="007C3EFA" w:rsidRPr="007C3EFA">
        <w:rPr>
          <w:rFonts w:ascii="Arial" w:eastAsia="Times New Roman" w:hAnsi="Arial" w:cs="Arial"/>
          <w:lang w:val="en" w:eastAsia="en-GB"/>
        </w:rPr>
        <w:t xml:space="preserve">. Responsibility for the operation of the </w:t>
      </w:r>
      <w:r>
        <w:rPr>
          <w:rFonts w:ascii="Arial" w:eastAsia="Times New Roman" w:hAnsi="Arial" w:cs="Arial"/>
          <w:lang w:val="en" w:eastAsia="en-GB"/>
        </w:rPr>
        <w:t>academic a</w:t>
      </w:r>
      <w:r w:rsidR="007C3EFA" w:rsidRPr="007C3EFA">
        <w:rPr>
          <w:rFonts w:ascii="Arial" w:eastAsia="Times New Roman" w:hAnsi="Arial" w:cs="Arial"/>
          <w:lang w:val="en" w:eastAsia="en-GB"/>
        </w:rPr>
        <w:t>dvising policy rests with the School.</w:t>
      </w:r>
    </w:p>
    <w:p w:rsidR="0096255A" w:rsidRPr="007C3EFA" w:rsidRDefault="0096255A" w:rsidP="002050FB">
      <w:pPr>
        <w:contextualSpacing/>
        <w:rPr>
          <w:rFonts w:ascii="Arial" w:hAnsi="Arial" w:cs="Arial"/>
        </w:rPr>
      </w:pPr>
    </w:p>
    <w:sectPr w:rsidR="0096255A" w:rsidRPr="007C3EF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0C" w:rsidRDefault="00853A0C" w:rsidP="00853A0C">
      <w:pPr>
        <w:spacing w:after="0" w:line="240" w:lineRule="auto"/>
      </w:pPr>
      <w:r>
        <w:separator/>
      </w:r>
    </w:p>
  </w:endnote>
  <w:endnote w:type="continuationSeparator" w:id="0">
    <w:p w:rsidR="00853A0C" w:rsidRDefault="00853A0C" w:rsidP="008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0C" w:rsidRDefault="00853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0C" w:rsidRPr="00853A0C" w:rsidRDefault="00853A0C">
    <w:pPr>
      <w:pStyle w:val="Footer"/>
      <w:rPr>
        <w:rFonts w:ascii="Arial" w:hAnsi="Arial" w:cs="Arial"/>
        <w:sz w:val="18"/>
        <w:szCs w:val="18"/>
      </w:rPr>
    </w:pPr>
    <w:r>
      <w:rPr>
        <w:rFonts w:ascii="Arial" w:hAnsi="Arial" w:cs="Arial"/>
        <w:sz w:val="18"/>
        <w:szCs w:val="18"/>
      </w:rPr>
      <w:t>v</w:t>
    </w:r>
    <w:bookmarkStart w:id="0" w:name="_GoBack"/>
    <w:bookmarkEnd w:id="0"/>
    <w:r w:rsidRPr="00853A0C">
      <w:rPr>
        <w:rFonts w:ascii="Arial" w:hAnsi="Arial" w:cs="Arial"/>
        <w:sz w:val="18"/>
        <w:szCs w:val="18"/>
      </w:rPr>
      <w:t xml:space="preserve">1 November 2016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0C" w:rsidRDefault="00853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0C" w:rsidRDefault="00853A0C" w:rsidP="00853A0C">
      <w:pPr>
        <w:spacing w:after="0" w:line="240" w:lineRule="auto"/>
      </w:pPr>
      <w:r>
        <w:separator/>
      </w:r>
    </w:p>
  </w:footnote>
  <w:footnote w:type="continuationSeparator" w:id="0">
    <w:p w:rsidR="00853A0C" w:rsidRDefault="00853A0C" w:rsidP="00853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0C" w:rsidRDefault="00853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0C" w:rsidRDefault="00853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0C" w:rsidRDefault="00853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7675"/>
    <w:multiLevelType w:val="hybridMultilevel"/>
    <w:tmpl w:val="5A5E42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3AB85D56"/>
    <w:multiLevelType w:val="hybridMultilevel"/>
    <w:tmpl w:val="E20C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8A6D47"/>
    <w:multiLevelType w:val="multilevel"/>
    <w:tmpl w:val="1382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60F7E"/>
    <w:multiLevelType w:val="multilevel"/>
    <w:tmpl w:val="175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4E2E40"/>
    <w:multiLevelType w:val="hybridMultilevel"/>
    <w:tmpl w:val="C3BA389C"/>
    <w:lvl w:ilvl="0" w:tplc="87A8B9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FA"/>
    <w:rsid w:val="002050FB"/>
    <w:rsid w:val="007C3EFA"/>
    <w:rsid w:val="00853A0C"/>
    <w:rsid w:val="0089372F"/>
    <w:rsid w:val="0096255A"/>
    <w:rsid w:val="00D755D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F57B"/>
  <w15:chartTrackingRefBased/>
  <w15:docId w15:val="{6B4E2821-803C-4CF4-BA46-94FCDFE1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3EFA"/>
    <w:rPr>
      <w:b/>
      <w:bCs/>
      <w:strike w:val="0"/>
      <w:dstrike w:val="0"/>
      <w:u w:val="none"/>
      <w:effect w:val="none"/>
    </w:rPr>
  </w:style>
  <w:style w:type="paragraph" w:styleId="PlainText">
    <w:name w:val="Plain Text"/>
    <w:basedOn w:val="Normal"/>
    <w:link w:val="PlainTextChar"/>
    <w:uiPriority w:val="99"/>
    <w:unhideWhenUsed/>
    <w:rsid w:val="007C3EFA"/>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C3EFA"/>
    <w:rPr>
      <w:rFonts w:ascii="Calibri" w:hAnsi="Calibri" w:cs="Consolas"/>
      <w:szCs w:val="21"/>
    </w:rPr>
  </w:style>
  <w:style w:type="paragraph" w:styleId="ListParagraph">
    <w:name w:val="List Paragraph"/>
    <w:basedOn w:val="Normal"/>
    <w:uiPriority w:val="34"/>
    <w:qFormat/>
    <w:rsid w:val="007C3EFA"/>
    <w:pPr>
      <w:spacing w:after="0" w:line="240" w:lineRule="auto"/>
      <w:ind w:left="720"/>
    </w:pPr>
    <w:rPr>
      <w:rFonts w:ascii="Calibri" w:hAnsi="Calibri" w:cs="Arial"/>
      <w:lang w:eastAsia="en-GB"/>
    </w:rPr>
  </w:style>
  <w:style w:type="table" w:styleId="TableGrid">
    <w:name w:val="Table Grid"/>
    <w:basedOn w:val="TableNormal"/>
    <w:uiPriority w:val="59"/>
    <w:rsid w:val="007C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A0C"/>
  </w:style>
  <w:style w:type="paragraph" w:styleId="Footer">
    <w:name w:val="footer"/>
    <w:basedOn w:val="Normal"/>
    <w:link w:val="FooterChar"/>
    <w:uiPriority w:val="99"/>
    <w:unhideWhenUsed/>
    <w:rsid w:val="00853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876">
      <w:bodyDiv w:val="1"/>
      <w:marLeft w:val="0"/>
      <w:marRight w:val="0"/>
      <w:marTop w:val="240"/>
      <w:marBottom w:val="240"/>
      <w:divBdr>
        <w:top w:val="none" w:sz="0" w:space="0" w:color="auto"/>
        <w:left w:val="none" w:sz="0" w:space="0" w:color="auto"/>
        <w:bottom w:val="none" w:sz="0" w:space="0" w:color="auto"/>
        <w:right w:val="none" w:sz="0" w:space="0" w:color="auto"/>
      </w:divBdr>
      <w:divsChild>
        <w:div w:id="2057000202">
          <w:marLeft w:val="0"/>
          <w:marRight w:val="0"/>
          <w:marTop w:val="0"/>
          <w:marBottom w:val="0"/>
          <w:divBdr>
            <w:top w:val="none" w:sz="0" w:space="0" w:color="auto"/>
            <w:left w:val="none" w:sz="0" w:space="0" w:color="auto"/>
            <w:bottom w:val="none" w:sz="0" w:space="0" w:color="auto"/>
            <w:right w:val="none" w:sz="0" w:space="0" w:color="auto"/>
          </w:divBdr>
          <w:divsChild>
            <w:div w:id="292567741">
              <w:marLeft w:val="0"/>
              <w:marRight w:val="0"/>
              <w:marTop w:val="0"/>
              <w:marBottom w:val="0"/>
              <w:divBdr>
                <w:top w:val="none" w:sz="0" w:space="0" w:color="auto"/>
                <w:left w:val="none" w:sz="0" w:space="0" w:color="auto"/>
                <w:bottom w:val="none" w:sz="0" w:space="0" w:color="auto"/>
                <w:right w:val="none" w:sz="0" w:space="0" w:color="auto"/>
              </w:divBdr>
              <w:divsChild>
                <w:div w:id="71322483">
                  <w:marLeft w:val="0"/>
                  <w:marRight w:val="0"/>
                  <w:marTop w:val="0"/>
                  <w:marBottom w:val="0"/>
                  <w:divBdr>
                    <w:top w:val="none" w:sz="0" w:space="0" w:color="auto"/>
                    <w:left w:val="none" w:sz="0" w:space="0" w:color="auto"/>
                    <w:bottom w:val="none" w:sz="0" w:space="0" w:color="auto"/>
                    <w:right w:val="none" w:sz="0" w:space="0" w:color="auto"/>
                  </w:divBdr>
                  <w:divsChild>
                    <w:div w:id="949161671">
                      <w:marLeft w:val="0"/>
                      <w:marRight w:val="0"/>
                      <w:marTop w:val="0"/>
                      <w:marBottom w:val="0"/>
                      <w:divBdr>
                        <w:top w:val="none" w:sz="0" w:space="0" w:color="auto"/>
                        <w:left w:val="none" w:sz="0" w:space="0" w:color="auto"/>
                        <w:bottom w:val="none" w:sz="0" w:space="0" w:color="auto"/>
                        <w:right w:val="none" w:sz="0" w:space="0" w:color="auto"/>
                      </w:divBdr>
                      <w:divsChild>
                        <w:div w:id="1506703306">
                          <w:marLeft w:val="0"/>
                          <w:marRight w:val="3"/>
                          <w:marTop w:val="0"/>
                          <w:marBottom w:val="0"/>
                          <w:divBdr>
                            <w:top w:val="none" w:sz="0" w:space="0" w:color="auto"/>
                            <w:left w:val="none" w:sz="0" w:space="0" w:color="auto"/>
                            <w:bottom w:val="none" w:sz="0" w:space="0" w:color="auto"/>
                            <w:right w:val="none" w:sz="0" w:space="0" w:color="auto"/>
                          </w:divBdr>
                          <w:divsChild>
                            <w:div w:id="20012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954824">
      <w:bodyDiv w:val="1"/>
      <w:marLeft w:val="0"/>
      <w:marRight w:val="0"/>
      <w:marTop w:val="240"/>
      <w:marBottom w:val="240"/>
      <w:divBdr>
        <w:top w:val="none" w:sz="0" w:space="0" w:color="auto"/>
        <w:left w:val="none" w:sz="0" w:space="0" w:color="auto"/>
        <w:bottom w:val="none" w:sz="0" w:space="0" w:color="auto"/>
        <w:right w:val="none" w:sz="0" w:space="0" w:color="auto"/>
      </w:divBdr>
      <w:divsChild>
        <w:div w:id="2138790637">
          <w:marLeft w:val="0"/>
          <w:marRight w:val="0"/>
          <w:marTop w:val="0"/>
          <w:marBottom w:val="0"/>
          <w:divBdr>
            <w:top w:val="none" w:sz="0" w:space="0" w:color="auto"/>
            <w:left w:val="none" w:sz="0" w:space="0" w:color="auto"/>
            <w:bottom w:val="none" w:sz="0" w:space="0" w:color="auto"/>
            <w:right w:val="none" w:sz="0" w:space="0" w:color="auto"/>
          </w:divBdr>
          <w:divsChild>
            <w:div w:id="1191644031">
              <w:marLeft w:val="0"/>
              <w:marRight w:val="0"/>
              <w:marTop w:val="0"/>
              <w:marBottom w:val="0"/>
              <w:divBdr>
                <w:top w:val="none" w:sz="0" w:space="0" w:color="auto"/>
                <w:left w:val="none" w:sz="0" w:space="0" w:color="auto"/>
                <w:bottom w:val="none" w:sz="0" w:space="0" w:color="auto"/>
                <w:right w:val="none" w:sz="0" w:space="0" w:color="auto"/>
              </w:divBdr>
              <w:divsChild>
                <w:div w:id="834034683">
                  <w:marLeft w:val="0"/>
                  <w:marRight w:val="0"/>
                  <w:marTop w:val="0"/>
                  <w:marBottom w:val="0"/>
                  <w:divBdr>
                    <w:top w:val="none" w:sz="0" w:space="0" w:color="auto"/>
                    <w:left w:val="none" w:sz="0" w:space="0" w:color="auto"/>
                    <w:bottom w:val="none" w:sz="0" w:space="0" w:color="auto"/>
                    <w:right w:val="none" w:sz="0" w:space="0" w:color="auto"/>
                  </w:divBdr>
                  <w:divsChild>
                    <w:div w:id="903686758">
                      <w:marLeft w:val="0"/>
                      <w:marRight w:val="0"/>
                      <w:marTop w:val="0"/>
                      <w:marBottom w:val="0"/>
                      <w:divBdr>
                        <w:top w:val="none" w:sz="0" w:space="0" w:color="auto"/>
                        <w:left w:val="none" w:sz="0" w:space="0" w:color="auto"/>
                        <w:bottom w:val="none" w:sz="0" w:space="0" w:color="auto"/>
                        <w:right w:val="none" w:sz="0" w:space="0" w:color="auto"/>
                      </w:divBdr>
                      <w:divsChild>
                        <w:div w:id="958336362">
                          <w:marLeft w:val="0"/>
                          <w:marRight w:val="3"/>
                          <w:marTop w:val="0"/>
                          <w:marBottom w:val="0"/>
                          <w:divBdr>
                            <w:top w:val="none" w:sz="0" w:space="0" w:color="auto"/>
                            <w:left w:val="none" w:sz="0" w:space="0" w:color="auto"/>
                            <w:bottom w:val="none" w:sz="0" w:space="0" w:color="auto"/>
                            <w:right w:val="none" w:sz="0" w:space="0" w:color="auto"/>
                          </w:divBdr>
                          <w:divsChild>
                            <w:div w:id="3716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792F2866.dotm</Template>
  <TotalTime>1</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Wolstenholme</dc:creator>
  <cp:keywords/>
  <dc:description/>
  <cp:lastModifiedBy>Clare Wolstenholme</cp:lastModifiedBy>
  <cp:revision>3</cp:revision>
  <dcterms:created xsi:type="dcterms:W3CDTF">2016-11-14T17:24:00Z</dcterms:created>
  <dcterms:modified xsi:type="dcterms:W3CDTF">2016-11-15T12:49:00Z</dcterms:modified>
</cp:coreProperties>
</file>